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2EC5" w14:textId="3758700C" w:rsidR="003D5882" w:rsidRPr="008B363C" w:rsidRDefault="003D5882" w:rsidP="003D5882">
      <w:pPr>
        <w:pStyle w:val="Heading1"/>
        <w:jc w:val="both"/>
        <w:rPr>
          <w:rFonts w:ascii="Arial" w:hAnsi="Arial"/>
          <w:sz w:val="24"/>
        </w:rPr>
      </w:pPr>
      <w:bookmarkStart w:id="0" w:name="_GoBack"/>
      <w:bookmarkEnd w:id="0"/>
      <w:r w:rsidRPr="008B363C">
        <w:rPr>
          <w:rFonts w:ascii="Arial" w:hAnsi="Arial"/>
          <w:sz w:val="24"/>
        </w:rPr>
        <w:t>Publication List</w:t>
      </w:r>
    </w:p>
    <w:p w14:paraId="75580B83" w14:textId="77777777" w:rsidR="003D5882" w:rsidRPr="008B363C" w:rsidRDefault="003D5882" w:rsidP="003D5882">
      <w:pPr>
        <w:spacing w:line="276" w:lineRule="auto"/>
        <w:ind w:left="720" w:hanging="720"/>
        <w:jc w:val="both"/>
        <w:rPr>
          <w:rFonts w:ascii="Arial" w:eastAsia="Arial" w:hAnsi="Arial"/>
          <w:b/>
          <w:bCs/>
          <w:sz w:val="18"/>
        </w:rPr>
      </w:pPr>
    </w:p>
    <w:p w14:paraId="4DBE9986" w14:textId="77777777" w:rsidR="003D5882" w:rsidRPr="00FF0F94" w:rsidRDefault="003D5882" w:rsidP="003D5882">
      <w:pPr>
        <w:spacing w:line="276" w:lineRule="auto"/>
        <w:ind w:left="720" w:hanging="720"/>
        <w:jc w:val="both"/>
        <w:rPr>
          <w:rFonts w:ascii="Arial" w:eastAsia="Arial" w:hAnsi="Arial"/>
          <w:b/>
          <w:bCs/>
          <w:szCs w:val="22"/>
        </w:rPr>
      </w:pPr>
      <w:r w:rsidRPr="00FF0F94">
        <w:rPr>
          <w:rFonts w:ascii="Arial" w:eastAsia="Arial" w:hAnsi="Arial"/>
          <w:b/>
          <w:bCs/>
          <w:szCs w:val="22"/>
        </w:rPr>
        <w:t>Manuscripts under review/revision</w:t>
      </w:r>
    </w:p>
    <w:p w14:paraId="7E6A689E" w14:textId="77777777" w:rsidR="00F10B3F" w:rsidRDefault="00F10B3F" w:rsidP="00F10B3F">
      <w:pPr>
        <w:rPr>
          <w:rFonts w:ascii="Arial" w:hAnsi="Arial"/>
          <w:bCs/>
          <w:szCs w:val="22"/>
          <w:lang w:val="en-AU"/>
        </w:rPr>
      </w:pPr>
    </w:p>
    <w:p w14:paraId="5C2AAA21" w14:textId="0BF439FC" w:rsidR="00F10B3F" w:rsidRPr="00F10B3F" w:rsidRDefault="00F10B3F" w:rsidP="00F10B3F">
      <w:pPr>
        <w:numPr>
          <w:ilvl w:val="0"/>
          <w:numId w:val="31"/>
        </w:numPr>
        <w:rPr>
          <w:rFonts w:ascii="Arial" w:hAnsi="Arial"/>
          <w:bCs/>
          <w:szCs w:val="22"/>
          <w:lang w:val="it-IT"/>
        </w:rPr>
      </w:pPr>
      <w:r>
        <w:rPr>
          <w:rFonts w:ascii="Arial" w:hAnsi="Arial"/>
          <w:bCs/>
          <w:szCs w:val="22"/>
          <w:lang w:val="en-AU"/>
        </w:rPr>
        <w:t xml:space="preserve">Dechorgnat, J., Francis, KL., Dhugga, KS., Rafalski, A., Tyerman, SD. and </w:t>
      </w:r>
      <w:r w:rsidRPr="00F10B3F">
        <w:rPr>
          <w:rFonts w:ascii="Arial" w:hAnsi="Arial"/>
          <w:b/>
          <w:bCs/>
          <w:szCs w:val="22"/>
          <w:lang w:val="en-AU"/>
        </w:rPr>
        <w:t>Kaiser, BN</w:t>
      </w:r>
      <w:r>
        <w:rPr>
          <w:rFonts w:ascii="Arial" w:hAnsi="Arial"/>
          <w:bCs/>
          <w:szCs w:val="22"/>
          <w:lang w:val="en-AU"/>
        </w:rPr>
        <w:t xml:space="preserve">. </w:t>
      </w:r>
      <w:r w:rsidRPr="00F10B3F">
        <w:rPr>
          <w:rFonts w:ascii="Arial" w:hAnsi="Arial"/>
          <w:bCs/>
          <w:szCs w:val="22"/>
          <w:lang w:val="it-IT"/>
        </w:rPr>
        <w:t>Contrasting maize inbreds highlight differences in strategies to root N acquisition and utilisation.</w:t>
      </w:r>
      <w:r>
        <w:rPr>
          <w:rFonts w:ascii="Arial" w:hAnsi="Arial"/>
          <w:bCs/>
          <w:szCs w:val="22"/>
          <w:lang w:val="it-IT"/>
        </w:rPr>
        <w:t xml:space="preserve"> </w:t>
      </w:r>
      <w:r w:rsidR="00870E80">
        <w:rPr>
          <w:rFonts w:ascii="Arial" w:hAnsi="Arial"/>
          <w:bCs/>
          <w:szCs w:val="22"/>
          <w:lang w:val="it-IT"/>
        </w:rPr>
        <w:t>Plant Physiology</w:t>
      </w:r>
      <w:r w:rsidR="000323D0">
        <w:rPr>
          <w:rFonts w:ascii="Arial" w:hAnsi="Arial"/>
          <w:bCs/>
          <w:szCs w:val="22"/>
          <w:lang w:val="it-IT"/>
        </w:rPr>
        <w:t xml:space="preserve"> (under revision)</w:t>
      </w:r>
    </w:p>
    <w:p w14:paraId="48146C32" w14:textId="3EC7FAB2" w:rsidR="00F10B3F" w:rsidRPr="00F10B3F" w:rsidRDefault="00F10B3F" w:rsidP="00F10B3F">
      <w:pPr>
        <w:rPr>
          <w:rFonts w:ascii="Arial" w:hAnsi="Arial"/>
          <w:bCs/>
          <w:szCs w:val="22"/>
          <w:lang w:val="it-IT"/>
        </w:rPr>
      </w:pPr>
    </w:p>
    <w:p w14:paraId="67E95B8F" w14:textId="02C4D51E" w:rsidR="00F10B3F" w:rsidRPr="0005707B" w:rsidRDefault="00F10B3F" w:rsidP="00FF0F94">
      <w:pPr>
        <w:numPr>
          <w:ilvl w:val="0"/>
          <w:numId w:val="31"/>
        </w:numPr>
        <w:rPr>
          <w:rFonts w:ascii="Arial" w:hAnsi="Arial"/>
          <w:bCs/>
          <w:szCs w:val="22"/>
          <w:lang w:val="en-AU"/>
        </w:rPr>
      </w:pPr>
      <w:r>
        <w:rPr>
          <w:rFonts w:ascii="Arial" w:hAnsi="Arial"/>
          <w:bCs/>
          <w:szCs w:val="22"/>
          <w:lang w:val="en-AU"/>
        </w:rPr>
        <w:t xml:space="preserve">Wen, Z., Dechorgnat, J., Dhugga, KS., Rafalski, K., Tyerman, SD., </w:t>
      </w:r>
      <w:r w:rsidRPr="00F10B3F">
        <w:rPr>
          <w:rFonts w:ascii="Arial" w:hAnsi="Arial"/>
          <w:b/>
          <w:bCs/>
          <w:szCs w:val="22"/>
          <w:lang w:val="en-AU"/>
        </w:rPr>
        <w:t>Kaiser, BN</w:t>
      </w:r>
      <w:r>
        <w:rPr>
          <w:rFonts w:ascii="Arial" w:hAnsi="Arial"/>
          <w:bCs/>
          <w:szCs w:val="22"/>
          <w:lang w:val="en-AU"/>
        </w:rPr>
        <w:t xml:space="preserve">. </w:t>
      </w:r>
      <w:r w:rsidRPr="00F10B3F">
        <w:rPr>
          <w:rFonts w:ascii="Arial" w:hAnsi="Arial"/>
          <w:bCs/>
          <w:szCs w:val="22"/>
        </w:rPr>
        <w:t>Characterization of Maize Nitrate Transporters ZmNPF6.4 and ZmNPF6.6 Reveal a Key Residue of Substrate Affinity and Specificity</w:t>
      </w:r>
      <w:r>
        <w:rPr>
          <w:rFonts w:ascii="Arial" w:hAnsi="Arial"/>
          <w:bCs/>
          <w:szCs w:val="22"/>
        </w:rPr>
        <w:t xml:space="preserve">. </w:t>
      </w:r>
      <w:r w:rsidR="00CD11F8">
        <w:rPr>
          <w:rFonts w:ascii="Arial" w:hAnsi="Arial"/>
          <w:bCs/>
          <w:szCs w:val="22"/>
        </w:rPr>
        <w:t xml:space="preserve">The </w:t>
      </w:r>
      <w:r w:rsidR="00870E80">
        <w:rPr>
          <w:rFonts w:ascii="Arial" w:hAnsi="Arial"/>
          <w:bCs/>
          <w:szCs w:val="22"/>
        </w:rPr>
        <w:t>Plant Cell</w:t>
      </w:r>
      <w:r w:rsidR="00AE440E">
        <w:rPr>
          <w:rFonts w:ascii="Arial" w:hAnsi="Arial"/>
          <w:bCs/>
          <w:szCs w:val="22"/>
        </w:rPr>
        <w:t xml:space="preserve"> (under revision)</w:t>
      </w:r>
    </w:p>
    <w:p w14:paraId="08E0DBE0" w14:textId="39071B97" w:rsidR="0005707B" w:rsidRPr="00F10B3F" w:rsidRDefault="0005707B" w:rsidP="006F2089">
      <w:pPr>
        <w:rPr>
          <w:rFonts w:ascii="Arial" w:hAnsi="Arial"/>
          <w:bCs/>
          <w:szCs w:val="22"/>
          <w:lang w:val="en-AU"/>
        </w:rPr>
      </w:pPr>
    </w:p>
    <w:p w14:paraId="0118738E" w14:textId="77777777" w:rsidR="003D5882" w:rsidRPr="00FF0F94" w:rsidRDefault="003D5882" w:rsidP="003D5882">
      <w:pPr>
        <w:spacing w:line="276" w:lineRule="auto"/>
        <w:jc w:val="both"/>
        <w:rPr>
          <w:rFonts w:ascii="Arial" w:eastAsia="Arial" w:hAnsi="Arial"/>
          <w:b/>
          <w:bCs/>
          <w:szCs w:val="22"/>
        </w:rPr>
      </w:pPr>
    </w:p>
    <w:p w14:paraId="656BE2A0" w14:textId="77777777" w:rsidR="007D27F3" w:rsidRPr="00FF0F94" w:rsidRDefault="007D27F3" w:rsidP="007D27F3">
      <w:pPr>
        <w:rPr>
          <w:b/>
          <w:bCs/>
          <w:szCs w:val="22"/>
        </w:rPr>
      </w:pPr>
      <w:r w:rsidRPr="00FF0F94">
        <w:rPr>
          <w:b/>
          <w:bCs/>
          <w:szCs w:val="22"/>
        </w:rPr>
        <w:t>Scholarly book chapters</w:t>
      </w:r>
    </w:p>
    <w:p w14:paraId="6C06AD5E" w14:textId="053414F7" w:rsidR="00870E80" w:rsidRPr="000F4465" w:rsidRDefault="000F4465" w:rsidP="00FF0F94">
      <w:pPr>
        <w:numPr>
          <w:ilvl w:val="0"/>
          <w:numId w:val="30"/>
        </w:numPr>
        <w:spacing w:line="240" w:lineRule="auto"/>
        <w:rPr>
          <w:szCs w:val="22"/>
        </w:rPr>
      </w:pPr>
      <w:r>
        <w:rPr>
          <w:szCs w:val="22"/>
        </w:rPr>
        <w:t xml:space="preserve">Tyerman, S.D., Wignes, J.A. and Kaiser, B.N. 2016 </w:t>
      </w:r>
      <w:r w:rsidRPr="000F4465">
        <w:rPr>
          <w:szCs w:val="22"/>
          <w:lang w:val="en-AU"/>
        </w:rPr>
        <w:t>Root Hydraulic and Aquaporin Responses to N Availability</w:t>
      </w:r>
      <w:r w:rsidR="00AE440E">
        <w:rPr>
          <w:szCs w:val="22"/>
          <w:lang w:val="en-AU"/>
        </w:rPr>
        <w:t>.</w:t>
      </w:r>
    </w:p>
    <w:p w14:paraId="20AD9827" w14:textId="77777777" w:rsidR="000F4465" w:rsidRDefault="000F4465" w:rsidP="000F4465">
      <w:pPr>
        <w:spacing w:line="240" w:lineRule="auto"/>
        <w:ind w:left="360"/>
        <w:rPr>
          <w:szCs w:val="22"/>
        </w:rPr>
      </w:pPr>
    </w:p>
    <w:p w14:paraId="76E1F23B" w14:textId="77777777" w:rsidR="007D27F3" w:rsidRPr="00FF0F94" w:rsidRDefault="007D27F3" w:rsidP="00FF0F94">
      <w:pPr>
        <w:numPr>
          <w:ilvl w:val="0"/>
          <w:numId w:val="30"/>
        </w:numPr>
        <w:spacing w:line="240" w:lineRule="auto"/>
        <w:rPr>
          <w:szCs w:val="22"/>
        </w:rPr>
      </w:pPr>
      <w:r w:rsidRPr="00FF0F94">
        <w:rPr>
          <w:szCs w:val="22"/>
        </w:rPr>
        <w:t xml:space="preserve">Tyerman S.D., Vandeleur R.K., Shelden M.C., Tilbrook J., Mayo G., Gilliham M., and </w:t>
      </w:r>
      <w:r w:rsidRPr="00FF0F94">
        <w:rPr>
          <w:b/>
          <w:szCs w:val="22"/>
        </w:rPr>
        <w:t>Kaiser B.N.</w:t>
      </w:r>
      <w:r w:rsidRPr="00FF0F94">
        <w:rPr>
          <w:szCs w:val="22"/>
        </w:rPr>
        <w:t xml:space="preserve"> 2009. Water transport and aquaporins in grapevine. In Grapevine Molecular Physiology &amp; Biotechnology K.A. Roubelakis-Angelakis Ed. Springer Publ., The Netherlands. 73-104.</w:t>
      </w:r>
    </w:p>
    <w:p w14:paraId="1D1594DB" w14:textId="77777777" w:rsidR="007D27F3" w:rsidRPr="00FF0F94" w:rsidRDefault="007D27F3" w:rsidP="007D27F3">
      <w:pPr>
        <w:rPr>
          <w:szCs w:val="22"/>
        </w:rPr>
      </w:pPr>
    </w:p>
    <w:p w14:paraId="47170E0B" w14:textId="3922CF17" w:rsidR="00913038" w:rsidRPr="006422BF" w:rsidRDefault="007D27F3" w:rsidP="00913038">
      <w:pPr>
        <w:rPr>
          <w:b/>
          <w:bCs/>
          <w:szCs w:val="22"/>
        </w:rPr>
      </w:pPr>
      <w:r w:rsidRPr="00FF0F94">
        <w:rPr>
          <w:b/>
          <w:bCs/>
          <w:szCs w:val="22"/>
        </w:rPr>
        <w:t>Refereed journal articles</w:t>
      </w:r>
      <w:bookmarkStart w:id="1" w:name="OLE_LINK10"/>
    </w:p>
    <w:p w14:paraId="5E95FE86" w14:textId="5D53915D" w:rsidR="00870E80" w:rsidRPr="00870E80" w:rsidRDefault="00870E80" w:rsidP="00870E80">
      <w:pPr>
        <w:pStyle w:val="ListParagraph"/>
        <w:numPr>
          <w:ilvl w:val="0"/>
          <w:numId w:val="30"/>
        </w:numPr>
        <w:rPr>
          <w:rFonts w:ascii="Arial" w:hAnsi="Arial"/>
          <w:bCs/>
          <w:sz w:val="22"/>
          <w:szCs w:val="22"/>
        </w:rPr>
      </w:pPr>
      <w:r w:rsidRPr="00870E80">
        <w:rPr>
          <w:rFonts w:ascii="Arial" w:hAnsi="Arial"/>
          <w:bCs/>
          <w:sz w:val="22"/>
          <w:szCs w:val="22"/>
        </w:rPr>
        <w:t xml:space="preserve">Foyer, C. H., H.-M. Lam, H. T. Nguyen, K. H. M. Siddique, R. K. Varshney, T. D. Colmer, W. Cowling, H. Bramley, T. A. Mori, J. M. Hodgson, J. W. Cooper, A. J. Miller, K. Kunert, J. Vorster, C. Cullis, J. A. Ozga, M. L. Wahlqvist, Y. Liang, H. Shou, K. Shi, J. Yu, N. Fodor, </w:t>
      </w:r>
      <w:r w:rsidRPr="00870E80">
        <w:rPr>
          <w:rFonts w:ascii="Arial" w:hAnsi="Arial"/>
          <w:b/>
          <w:bCs/>
          <w:sz w:val="22"/>
          <w:szCs w:val="22"/>
        </w:rPr>
        <w:t>B. N. Kaiser</w:t>
      </w:r>
      <w:r w:rsidRPr="00870E80">
        <w:rPr>
          <w:rFonts w:ascii="Arial" w:hAnsi="Arial"/>
          <w:bCs/>
          <w:sz w:val="22"/>
          <w:szCs w:val="22"/>
        </w:rPr>
        <w:t xml:space="preserve">, F.-L. Wong, B. Valliyodan and M. J. Considine (2016). "Neglecting legumes has compromised human health and sustainable food production." </w:t>
      </w:r>
      <w:r w:rsidRPr="00870E80">
        <w:rPr>
          <w:rFonts w:ascii="Arial" w:hAnsi="Arial"/>
          <w:b/>
          <w:bCs/>
          <w:sz w:val="22"/>
          <w:szCs w:val="22"/>
        </w:rPr>
        <w:t xml:space="preserve">Nature Plants </w:t>
      </w:r>
      <w:r w:rsidRPr="00870E80">
        <w:rPr>
          <w:rFonts w:ascii="Arial" w:hAnsi="Arial"/>
          <w:bCs/>
          <w:sz w:val="22"/>
          <w:szCs w:val="22"/>
        </w:rPr>
        <w:t>2: 16112.</w:t>
      </w:r>
    </w:p>
    <w:p w14:paraId="272BD76B" w14:textId="77777777" w:rsidR="00870E80" w:rsidRDefault="00870E80" w:rsidP="00870E80">
      <w:pPr>
        <w:ind w:left="360"/>
        <w:rPr>
          <w:rFonts w:ascii="Arial" w:hAnsi="Arial"/>
          <w:bCs/>
          <w:szCs w:val="22"/>
        </w:rPr>
      </w:pPr>
    </w:p>
    <w:p w14:paraId="2BA0EE3A" w14:textId="687705B5" w:rsidR="006422BF" w:rsidRPr="006422BF" w:rsidRDefault="006422BF" w:rsidP="006F2089">
      <w:pPr>
        <w:numPr>
          <w:ilvl w:val="0"/>
          <w:numId w:val="30"/>
        </w:numPr>
        <w:rPr>
          <w:rFonts w:ascii="Arial" w:hAnsi="Arial"/>
          <w:bCs/>
          <w:szCs w:val="22"/>
        </w:rPr>
      </w:pPr>
      <w:r w:rsidRPr="006422BF">
        <w:rPr>
          <w:rFonts w:ascii="Arial" w:hAnsi="Arial"/>
          <w:bCs/>
          <w:szCs w:val="22"/>
        </w:rPr>
        <w:t xml:space="preserve">Plett D, Holtham L, Baumann U, Kalashyan E, Francis K, Enju A, Toubia J, Roessner U, Bacic A, Rafalski A, Dhugga KS, Tester M, Garnett T, </w:t>
      </w:r>
      <w:r w:rsidRPr="006422BF">
        <w:rPr>
          <w:rFonts w:ascii="Arial" w:hAnsi="Arial"/>
          <w:b/>
          <w:bCs/>
          <w:szCs w:val="22"/>
        </w:rPr>
        <w:t>Kaiser B</w:t>
      </w:r>
      <w:r>
        <w:rPr>
          <w:rFonts w:ascii="Arial" w:hAnsi="Arial"/>
          <w:b/>
          <w:bCs/>
          <w:szCs w:val="22"/>
        </w:rPr>
        <w:t>.</w:t>
      </w:r>
      <w:r w:rsidRPr="006422BF">
        <w:rPr>
          <w:rFonts w:ascii="Arial" w:hAnsi="Arial"/>
          <w:b/>
          <w:bCs/>
          <w:szCs w:val="22"/>
        </w:rPr>
        <w:t>N</w:t>
      </w:r>
      <w:r>
        <w:rPr>
          <w:rFonts w:ascii="Arial" w:hAnsi="Arial"/>
          <w:b/>
          <w:bCs/>
          <w:szCs w:val="22"/>
        </w:rPr>
        <w:t>.</w:t>
      </w:r>
      <w:r w:rsidRPr="006422BF">
        <w:rPr>
          <w:rFonts w:ascii="Arial" w:hAnsi="Arial"/>
          <w:bCs/>
          <w:szCs w:val="22"/>
        </w:rPr>
        <w:t xml:space="preserve"> (2016)</w:t>
      </w:r>
      <w:r>
        <w:rPr>
          <w:rFonts w:ascii="Arial" w:hAnsi="Arial"/>
          <w:bCs/>
          <w:szCs w:val="22"/>
        </w:rPr>
        <w:t>.</w:t>
      </w:r>
      <w:r w:rsidRPr="006422BF">
        <w:rPr>
          <w:rFonts w:ascii="Arial" w:hAnsi="Arial"/>
          <w:bCs/>
          <w:szCs w:val="22"/>
        </w:rPr>
        <w:t xml:space="preserve"> Nitrogen assimilation system in maize is regulated by developmental and tissue-specific mechanisms. </w:t>
      </w:r>
      <w:r w:rsidRPr="006422BF">
        <w:rPr>
          <w:rFonts w:ascii="Arial" w:hAnsi="Arial"/>
          <w:b/>
          <w:bCs/>
          <w:szCs w:val="22"/>
        </w:rPr>
        <w:t>Plant Mol Biol</w:t>
      </w:r>
      <w:r w:rsidRPr="006422BF">
        <w:rPr>
          <w:rFonts w:ascii="Arial" w:hAnsi="Arial"/>
          <w:bCs/>
          <w:szCs w:val="22"/>
        </w:rPr>
        <w:t>: 1-20</w:t>
      </w:r>
    </w:p>
    <w:p w14:paraId="488EBFBC" w14:textId="77777777" w:rsidR="006422BF" w:rsidRPr="006422BF" w:rsidRDefault="006422BF" w:rsidP="006422BF">
      <w:pPr>
        <w:ind w:left="360"/>
        <w:rPr>
          <w:rFonts w:ascii="Arial" w:hAnsi="Arial"/>
          <w:b/>
          <w:bCs/>
          <w:szCs w:val="22"/>
        </w:rPr>
      </w:pPr>
    </w:p>
    <w:p w14:paraId="3F508F5D" w14:textId="305E3AEC" w:rsidR="006F2089" w:rsidRPr="0005707B" w:rsidRDefault="006F2089" w:rsidP="006F2089">
      <w:pPr>
        <w:numPr>
          <w:ilvl w:val="0"/>
          <w:numId w:val="30"/>
        </w:numPr>
        <w:rPr>
          <w:rFonts w:ascii="Arial" w:hAnsi="Arial"/>
          <w:b/>
          <w:bCs/>
          <w:szCs w:val="22"/>
        </w:rPr>
      </w:pPr>
      <w:r>
        <w:rPr>
          <w:rFonts w:ascii="Arial" w:hAnsi="Arial"/>
          <w:bCs/>
          <w:szCs w:val="22"/>
        </w:rPr>
        <w:t xml:space="preserve">Barbour, M., </w:t>
      </w:r>
      <w:r w:rsidRPr="0005707B">
        <w:rPr>
          <w:rFonts w:ascii="Arial" w:hAnsi="Arial"/>
          <w:b/>
          <w:bCs/>
          <w:szCs w:val="22"/>
        </w:rPr>
        <w:t>Kaiser, BN.</w:t>
      </w:r>
      <w:r>
        <w:rPr>
          <w:rFonts w:ascii="Arial" w:hAnsi="Arial"/>
          <w:bCs/>
          <w:szCs w:val="22"/>
        </w:rPr>
        <w:t xml:space="preserve"> </w:t>
      </w:r>
      <w:r w:rsidR="00843A5E">
        <w:rPr>
          <w:rFonts w:ascii="Arial" w:hAnsi="Arial"/>
          <w:bCs/>
          <w:szCs w:val="22"/>
        </w:rPr>
        <w:t>(2016).</w:t>
      </w:r>
      <w:r w:rsidR="002D0AEF">
        <w:rPr>
          <w:rFonts w:ascii="Arial" w:hAnsi="Arial"/>
          <w:bCs/>
          <w:szCs w:val="22"/>
        </w:rPr>
        <w:t xml:space="preserve"> </w:t>
      </w:r>
      <w:r w:rsidRPr="0005707B">
        <w:rPr>
          <w:rFonts w:ascii="Arial" w:hAnsi="Arial"/>
          <w:bCs/>
          <w:szCs w:val="22"/>
        </w:rPr>
        <w:t>The response of mesophyll conductance to nitrogen and water availability differs between wheat genotypes.</w:t>
      </w:r>
      <w:r>
        <w:rPr>
          <w:rFonts w:ascii="Arial" w:hAnsi="Arial"/>
          <w:bCs/>
          <w:szCs w:val="22"/>
        </w:rPr>
        <w:t xml:space="preserve"> </w:t>
      </w:r>
      <w:r w:rsidRPr="003C730C">
        <w:rPr>
          <w:rFonts w:ascii="Arial" w:hAnsi="Arial"/>
          <w:b/>
          <w:bCs/>
          <w:szCs w:val="22"/>
        </w:rPr>
        <w:t>Plant Science</w:t>
      </w:r>
      <w:r>
        <w:rPr>
          <w:rFonts w:ascii="Arial" w:hAnsi="Arial"/>
          <w:bCs/>
          <w:szCs w:val="22"/>
        </w:rPr>
        <w:t xml:space="preserve"> </w:t>
      </w:r>
      <w:r w:rsidR="00843A5E" w:rsidRPr="00843A5E">
        <w:rPr>
          <w:rFonts w:ascii="Arial" w:hAnsi="Arial"/>
          <w:bCs/>
          <w:szCs w:val="22"/>
        </w:rPr>
        <w:t>doi:10.1016/j.plantsci.2016.03.012</w:t>
      </w:r>
    </w:p>
    <w:p w14:paraId="1098CA57" w14:textId="77777777" w:rsidR="006F2089" w:rsidRPr="006F2089" w:rsidRDefault="006F2089" w:rsidP="006F2089">
      <w:pPr>
        <w:ind w:left="360"/>
        <w:rPr>
          <w:rFonts w:ascii="Arial" w:hAnsi="Arial"/>
          <w:bCs/>
          <w:szCs w:val="22"/>
          <w:lang w:val="en-AU"/>
        </w:rPr>
      </w:pPr>
    </w:p>
    <w:p w14:paraId="37D403FB" w14:textId="68FDE52F" w:rsidR="00047D08" w:rsidRPr="00843A5E" w:rsidRDefault="00047D08" w:rsidP="008B6D2B">
      <w:pPr>
        <w:numPr>
          <w:ilvl w:val="0"/>
          <w:numId w:val="30"/>
        </w:numPr>
        <w:rPr>
          <w:rFonts w:ascii="Arial" w:hAnsi="Arial"/>
          <w:bCs/>
          <w:szCs w:val="22"/>
          <w:lang w:val="en-AU"/>
        </w:rPr>
      </w:pPr>
      <w:r w:rsidRPr="00843A5E">
        <w:rPr>
          <w:rFonts w:ascii="Arial" w:hAnsi="Arial"/>
          <w:bCs/>
          <w:szCs w:val="22"/>
        </w:rPr>
        <w:t xml:space="preserve">Aleksandr, G., Chiasson, D., Ovchinnikova, E., </w:t>
      </w:r>
      <w:r w:rsidRPr="00843A5E">
        <w:rPr>
          <w:rFonts w:ascii="Arial" w:hAnsi="Arial"/>
          <w:b/>
          <w:bCs/>
          <w:szCs w:val="22"/>
        </w:rPr>
        <w:t>Kaiser, BN</w:t>
      </w:r>
      <w:r w:rsidRPr="00843A5E">
        <w:rPr>
          <w:rFonts w:ascii="Arial" w:hAnsi="Arial"/>
          <w:bCs/>
          <w:szCs w:val="22"/>
        </w:rPr>
        <w:t>., Bisseling, T. and Fedorova, EE.</w:t>
      </w:r>
      <w:r w:rsidRPr="00843A5E">
        <w:rPr>
          <w:rFonts w:ascii="Arial" w:hAnsi="Arial"/>
          <w:bCs/>
          <w:szCs w:val="22"/>
          <w:lang w:val="en-AU"/>
        </w:rPr>
        <w:t xml:space="preserve"> </w:t>
      </w:r>
      <w:r w:rsidR="006422BF" w:rsidRPr="00843A5E">
        <w:rPr>
          <w:rFonts w:ascii="Arial" w:hAnsi="Arial"/>
          <w:bCs/>
          <w:szCs w:val="22"/>
          <w:lang w:val="en-AU"/>
        </w:rPr>
        <w:t xml:space="preserve">(2016). </w:t>
      </w:r>
      <w:r w:rsidRPr="00843A5E">
        <w:rPr>
          <w:rFonts w:ascii="Arial" w:hAnsi="Arial"/>
          <w:bCs/>
          <w:szCs w:val="22"/>
        </w:rPr>
        <w:t xml:space="preserve">VAMP721a and VAMP721d are important for pectin dynamics and release of bacteria in soybean nodules. </w:t>
      </w:r>
      <w:r w:rsidRPr="00843A5E">
        <w:rPr>
          <w:rFonts w:ascii="Arial" w:hAnsi="Arial"/>
          <w:b/>
          <w:bCs/>
          <w:szCs w:val="22"/>
        </w:rPr>
        <w:t>New Phytologist</w:t>
      </w:r>
      <w:r w:rsidR="00843A5E">
        <w:rPr>
          <w:rFonts w:ascii="Arial" w:hAnsi="Arial"/>
          <w:bCs/>
          <w:szCs w:val="22"/>
        </w:rPr>
        <w:t>, 210 (3): 1011–</w:t>
      </w:r>
      <w:r w:rsidR="00843A5E" w:rsidRPr="00843A5E">
        <w:rPr>
          <w:rFonts w:ascii="Arial" w:hAnsi="Arial"/>
          <w:bCs/>
          <w:szCs w:val="22"/>
        </w:rPr>
        <w:t>21</w:t>
      </w:r>
      <w:r w:rsidRPr="00843A5E">
        <w:rPr>
          <w:rFonts w:ascii="Arial" w:hAnsi="Arial"/>
          <w:bCs/>
          <w:szCs w:val="22"/>
        </w:rPr>
        <w:t>.</w:t>
      </w:r>
    </w:p>
    <w:p w14:paraId="30591010" w14:textId="77777777" w:rsidR="00E16C2D" w:rsidRDefault="00E16C2D" w:rsidP="00E16C2D">
      <w:pPr>
        <w:ind w:left="360"/>
        <w:rPr>
          <w:rFonts w:ascii="Arial" w:hAnsi="Arial"/>
          <w:bCs/>
          <w:szCs w:val="22"/>
          <w:lang w:val="en-AU"/>
        </w:rPr>
      </w:pPr>
    </w:p>
    <w:p w14:paraId="151A1C2C" w14:textId="77777777" w:rsidR="00F74F9E" w:rsidRDefault="00F74F9E" w:rsidP="00F74F9E">
      <w:pPr>
        <w:numPr>
          <w:ilvl w:val="0"/>
          <w:numId w:val="30"/>
        </w:numPr>
        <w:rPr>
          <w:rFonts w:ascii="Arial" w:hAnsi="Arial"/>
          <w:bCs/>
          <w:szCs w:val="22"/>
          <w:lang w:val="en-AU"/>
        </w:rPr>
      </w:pPr>
      <w:r w:rsidRPr="00FF0F94">
        <w:rPr>
          <w:rFonts w:ascii="Arial" w:hAnsi="Arial"/>
          <w:bCs/>
          <w:szCs w:val="22"/>
          <w:lang w:val="en-AU"/>
        </w:rPr>
        <w:t xml:space="preserve">Plett, D., Baumann, U., Schreiber, A., Holtham, L., Kalashyan, E., Toubia, J., Rafalski, A., Beatty, M., Dhugga, K., Tester, M., Garnett, T., and </w:t>
      </w:r>
      <w:r w:rsidRPr="00FF0F94">
        <w:rPr>
          <w:rFonts w:ascii="Arial" w:hAnsi="Arial"/>
          <w:b/>
          <w:bCs/>
          <w:szCs w:val="22"/>
          <w:lang w:val="en-AU"/>
        </w:rPr>
        <w:t>Kaiser, B.N.</w:t>
      </w:r>
      <w:r w:rsidRPr="00FF0F94">
        <w:rPr>
          <w:rFonts w:ascii="Arial" w:hAnsi="Arial"/>
          <w:bCs/>
          <w:szCs w:val="22"/>
          <w:lang w:val="en-AU"/>
        </w:rPr>
        <w:t xml:space="preserve"> (201</w:t>
      </w:r>
      <w:r>
        <w:rPr>
          <w:rFonts w:ascii="Arial" w:hAnsi="Arial"/>
          <w:bCs/>
          <w:szCs w:val="22"/>
          <w:lang w:val="en-AU"/>
        </w:rPr>
        <w:t>6</w:t>
      </w:r>
      <w:r w:rsidRPr="00FF0F94">
        <w:rPr>
          <w:rFonts w:ascii="Arial" w:hAnsi="Arial"/>
          <w:bCs/>
          <w:szCs w:val="22"/>
          <w:lang w:val="en-AU"/>
        </w:rPr>
        <w:t xml:space="preserve">). </w:t>
      </w:r>
      <w:r w:rsidRPr="00047D08">
        <w:rPr>
          <w:rFonts w:ascii="Arial" w:hAnsi="Arial"/>
          <w:bCs/>
          <w:szCs w:val="22"/>
        </w:rPr>
        <w:t>Maize maintains growth in response to decreased nitrate supply through a highly dynamic and developmental stage-specific transcriptional response</w:t>
      </w:r>
      <w:r w:rsidRPr="00047D08">
        <w:rPr>
          <w:rFonts w:ascii="Arial" w:hAnsi="Arial"/>
          <w:bCs/>
          <w:szCs w:val="22"/>
          <w:lang w:val="en-AU"/>
        </w:rPr>
        <w:t>.</w:t>
      </w:r>
      <w:r w:rsidRPr="00FF0F94">
        <w:rPr>
          <w:rFonts w:ascii="Arial" w:hAnsi="Arial"/>
          <w:bCs/>
          <w:szCs w:val="22"/>
          <w:lang w:val="en-AU"/>
        </w:rPr>
        <w:t xml:space="preserve"> </w:t>
      </w:r>
      <w:r w:rsidRPr="00FF0F94">
        <w:rPr>
          <w:rFonts w:ascii="Arial" w:hAnsi="Arial"/>
          <w:b/>
          <w:bCs/>
          <w:szCs w:val="22"/>
          <w:lang w:val="en-AU"/>
        </w:rPr>
        <w:t>Plant Biotechnology Journal</w:t>
      </w:r>
      <w:r w:rsidRPr="00FF0F94">
        <w:rPr>
          <w:rFonts w:ascii="Arial" w:hAnsi="Arial"/>
          <w:bCs/>
          <w:szCs w:val="22"/>
          <w:lang w:val="en-AU"/>
        </w:rPr>
        <w:t xml:space="preserve"> </w:t>
      </w:r>
      <w:r w:rsidRPr="00047D08">
        <w:rPr>
          <w:rFonts w:ascii="Arial" w:hAnsi="Arial"/>
          <w:bCs/>
          <w:szCs w:val="22"/>
        </w:rPr>
        <w:t>2016 Jan;14(1):342-53. doi: 10.1111/pbi.12388.</w:t>
      </w:r>
    </w:p>
    <w:p w14:paraId="25B77896" w14:textId="77777777" w:rsidR="00F74F9E" w:rsidRDefault="00F74F9E" w:rsidP="00F74F9E">
      <w:pPr>
        <w:ind w:left="360"/>
        <w:rPr>
          <w:rFonts w:ascii="Arial" w:hAnsi="Arial"/>
          <w:bCs/>
          <w:szCs w:val="22"/>
          <w:lang w:val="en-AU"/>
        </w:rPr>
      </w:pPr>
    </w:p>
    <w:p w14:paraId="73706376" w14:textId="3A52D516" w:rsidR="00635327" w:rsidRPr="00F74F9E" w:rsidRDefault="00047D08" w:rsidP="00635327">
      <w:pPr>
        <w:numPr>
          <w:ilvl w:val="0"/>
          <w:numId w:val="30"/>
        </w:numPr>
        <w:rPr>
          <w:rFonts w:ascii="Arial" w:hAnsi="Arial"/>
          <w:bCs/>
          <w:szCs w:val="22"/>
          <w:lang w:val="en-AU"/>
        </w:rPr>
      </w:pPr>
      <w:r w:rsidRPr="00047D08">
        <w:rPr>
          <w:rFonts w:ascii="Arial" w:hAnsi="Arial"/>
          <w:bCs/>
          <w:szCs w:val="22"/>
          <w:lang w:val="en-AU"/>
        </w:rPr>
        <w:t>Garnett, T., Plett</w:t>
      </w:r>
      <w:r w:rsidRPr="00047D08">
        <w:rPr>
          <w:rFonts w:ascii="Arial" w:hAnsi="Arial"/>
          <w:bCs/>
          <w:szCs w:val="22"/>
          <w:vertAlign w:val="superscript"/>
          <w:lang w:val="en-AU"/>
        </w:rPr>
        <w:t xml:space="preserve">, </w:t>
      </w:r>
      <w:r w:rsidRPr="00047D08">
        <w:rPr>
          <w:rFonts w:ascii="Arial" w:hAnsi="Arial"/>
          <w:bCs/>
          <w:szCs w:val="22"/>
          <w:lang w:val="en-AU"/>
        </w:rPr>
        <w:t>D., Conn</w:t>
      </w:r>
      <w:r w:rsidRPr="00047D08">
        <w:rPr>
          <w:rFonts w:ascii="Arial" w:hAnsi="Arial"/>
          <w:bCs/>
          <w:szCs w:val="22"/>
          <w:vertAlign w:val="superscript"/>
          <w:lang w:val="en-AU"/>
        </w:rPr>
        <w:t xml:space="preserve">, </w:t>
      </w:r>
      <w:r w:rsidRPr="00047D08">
        <w:rPr>
          <w:rFonts w:ascii="Arial" w:hAnsi="Arial"/>
          <w:bCs/>
          <w:szCs w:val="22"/>
          <w:lang w:val="en-AU"/>
        </w:rPr>
        <w:t>V., Conn</w:t>
      </w:r>
      <w:r w:rsidRPr="00047D08">
        <w:rPr>
          <w:rFonts w:ascii="Arial" w:hAnsi="Arial"/>
          <w:bCs/>
          <w:szCs w:val="22"/>
          <w:vertAlign w:val="superscript"/>
          <w:lang w:val="en-AU"/>
        </w:rPr>
        <w:t xml:space="preserve">, </w:t>
      </w:r>
      <w:r w:rsidRPr="00047D08">
        <w:rPr>
          <w:rFonts w:ascii="Arial" w:hAnsi="Arial"/>
          <w:bCs/>
          <w:szCs w:val="22"/>
          <w:lang w:val="en-AU"/>
        </w:rPr>
        <w:t>S., Rabie, H., Rafalski</w:t>
      </w:r>
      <w:r w:rsidRPr="00047D08">
        <w:rPr>
          <w:rFonts w:ascii="Arial" w:hAnsi="Arial"/>
          <w:bCs/>
          <w:szCs w:val="22"/>
          <w:vertAlign w:val="superscript"/>
          <w:lang w:val="en-AU"/>
        </w:rPr>
        <w:t xml:space="preserve">, </w:t>
      </w:r>
      <w:r w:rsidRPr="00047D08">
        <w:rPr>
          <w:rFonts w:ascii="Arial" w:hAnsi="Arial"/>
          <w:bCs/>
          <w:szCs w:val="22"/>
          <w:lang w:val="en-AU"/>
        </w:rPr>
        <w:t xml:space="preserve">A., Dhugga, K., Tester, M., and </w:t>
      </w:r>
      <w:r w:rsidRPr="00047D08">
        <w:rPr>
          <w:rFonts w:ascii="Arial" w:hAnsi="Arial"/>
          <w:b/>
          <w:bCs/>
          <w:szCs w:val="22"/>
          <w:lang w:val="en-AU"/>
        </w:rPr>
        <w:t>Kaiser, BN.</w:t>
      </w:r>
      <w:r w:rsidRPr="00047D08">
        <w:rPr>
          <w:rFonts w:ascii="Arial" w:hAnsi="Arial"/>
          <w:bCs/>
          <w:szCs w:val="22"/>
          <w:lang w:val="en-AU"/>
        </w:rPr>
        <w:t xml:space="preserve"> (2015). Variability in nitrogen uptake characteristics of maize genotypes in response to nitrogen supply. </w:t>
      </w:r>
      <w:r w:rsidRPr="00047D08">
        <w:rPr>
          <w:rFonts w:ascii="Arial" w:hAnsi="Arial"/>
          <w:b/>
          <w:bCs/>
          <w:szCs w:val="22"/>
          <w:lang w:val="en-AU"/>
        </w:rPr>
        <w:t>Frontiers in Plant Science</w:t>
      </w:r>
      <w:r w:rsidRPr="00047D08">
        <w:rPr>
          <w:rFonts w:ascii="Arial" w:hAnsi="Arial"/>
          <w:bCs/>
          <w:szCs w:val="22"/>
          <w:lang w:val="en-AU"/>
        </w:rPr>
        <w:t xml:space="preserve"> </w:t>
      </w:r>
      <w:r w:rsidRPr="00047D08">
        <w:rPr>
          <w:rFonts w:ascii="Arial" w:hAnsi="Arial"/>
          <w:bCs/>
          <w:szCs w:val="22"/>
        </w:rPr>
        <w:t>Nov 9;6:936. doi: 10.3389/fpls.2015.00936</w:t>
      </w:r>
      <w:r w:rsidRPr="00047D08">
        <w:rPr>
          <w:rFonts w:ascii="Arial" w:hAnsi="Arial"/>
          <w:bCs/>
          <w:szCs w:val="22"/>
          <w:lang w:val="en-AU"/>
        </w:rPr>
        <w:t>.</w:t>
      </w:r>
    </w:p>
    <w:p w14:paraId="2CAA0DA3" w14:textId="77777777" w:rsidR="00913038" w:rsidRPr="00913038" w:rsidRDefault="00913038" w:rsidP="00913038">
      <w:pPr>
        <w:rPr>
          <w:rFonts w:ascii="Arial" w:hAnsi="Arial"/>
          <w:bCs/>
          <w:szCs w:val="22"/>
          <w:lang w:val="en-AU"/>
        </w:rPr>
      </w:pPr>
    </w:p>
    <w:p w14:paraId="186B650A" w14:textId="77777777" w:rsidR="00913038" w:rsidRDefault="00913038" w:rsidP="00913038">
      <w:pPr>
        <w:numPr>
          <w:ilvl w:val="0"/>
          <w:numId w:val="30"/>
        </w:numPr>
        <w:rPr>
          <w:rFonts w:ascii="Arial" w:hAnsi="Arial"/>
          <w:bCs/>
          <w:szCs w:val="22"/>
          <w:lang w:val="en-AU"/>
        </w:rPr>
      </w:pPr>
      <w:r>
        <w:rPr>
          <w:rFonts w:ascii="Arial" w:hAnsi="Arial"/>
          <w:bCs/>
          <w:szCs w:val="22"/>
          <w:lang w:val="en-AU"/>
        </w:rPr>
        <w:t xml:space="preserve">Seifi, E., Guerin, J., </w:t>
      </w:r>
      <w:r w:rsidRPr="00913038">
        <w:rPr>
          <w:rFonts w:ascii="Arial" w:hAnsi="Arial"/>
          <w:b/>
          <w:bCs/>
          <w:szCs w:val="22"/>
          <w:lang w:val="en-AU"/>
        </w:rPr>
        <w:t>Kaiser, B.N.</w:t>
      </w:r>
      <w:r>
        <w:rPr>
          <w:rFonts w:ascii="Arial" w:hAnsi="Arial"/>
          <w:bCs/>
          <w:szCs w:val="22"/>
          <w:lang w:val="en-AU"/>
        </w:rPr>
        <w:t xml:space="preserve">, and Sedgley, M. (2015). </w:t>
      </w:r>
      <w:r w:rsidRPr="00913038">
        <w:rPr>
          <w:rFonts w:ascii="Arial" w:hAnsi="Arial"/>
          <w:bCs/>
          <w:szCs w:val="22"/>
          <w:lang w:val="en-AU"/>
        </w:rPr>
        <w:t>Flowering and fruit set in olive: a review</w:t>
      </w:r>
      <w:r>
        <w:rPr>
          <w:rFonts w:ascii="Arial" w:hAnsi="Arial"/>
          <w:bCs/>
          <w:szCs w:val="22"/>
          <w:lang w:val="en-AU"/>
        </w:rPr>
        <w:t xml:space="preserve">. </w:t>
      </w:r>
      <w:r w:rsidRPr="00E16C2D">
        <w:rPr>
          <w:rFonts w:ascii="Arial" w:hAnsi="Arial"/>
          <w:b/>
          <w:bCs/>
          <w:szCs w:val="22"/>
          <w:lang w:val="en-AU"/>
        </w:rPr>
        <w:t>Iranian Journal of Plant Physiology</w:t>
      </w:r>
      <w:r w:rsidRPr="00913038">
        <w:rPr>
          <w:rFonts w:ascii="Arial" w:hAnsi="Arial"/>
          <w:bCs/>
          <w:szCs w:val="22"/>
          <w:lang w:val="en-AU"/>
        </w:rPr>
        <w:t xml:space="preserve">, Vol (5), No (2) </w:t>
      </w:r>
      <w:r>
        <w:rPr>
          <w:rFonts w:ascii="Arial" w:hAnsi="Arial"/>
          <w:bCs/>
          <w:szCs w:val="22"/>
          <w:lang w:val="en-AU"/>
        </w:rPr>
        <w:t>1263-1272.</w:t>
      </w:r>
    </w:p>
    <w:p w14:paraId="72B44729" w14:textId="77777777" w:rsidR="00FA1A01" w:rsidRPr="00FF0F94" w:rsidRDefault="00FA1A01" w:rsidP="00FA1A01">
      <w:pPr>
        <w:rPr>
          <w:rFonts w:ascii="Arial" w:hAnsi="Arial"/>
          <w:bCs/>
          <w:szCs w:val="22"/>
          <w:lang w:val="en-AU"/>
        </w:rPr>
      </w:pPr>
    </w:p>
    <w:p w14:paraId="3CCE958A" w14:textId="77777777" w:rsidR="007D27F3" w:rsidRPr="00FF0F94" w:rsidRDefault="007D27F3" w:rsidP="00FF0F94">
      <w:pPr>
        <w:numPr>
          <w:ilvl w:val="0"/>
          <w:numId w:val="30"/>
        </w:numPr>
        <w:spacing w:line="240" w:lineRule="auto"/>
        <w:rPr>
          <w:bCs/>
          <w:szCs w:val="22"/>
        </w:rPr>
      </w:pPr>
      <w:r w:rsidRPr="00FF0F94">
        <w:rPr>
          <w:bCs/>
          <w:szCs w:val="22"/>
        </w:rPr>
        <w:t xml:space="preserve">Loveys, B.R., </w:t>
      </w:r>
      <w:r w:rsidRPr="00FF0F94">
        <w:rPr>
          <w:b/>
          <w:bCs/>
          <w:szCs w:val="22"/>
        </w:rPr>
        <w:t>Kaiser, B.N.</w:t>
      </w:r>
      <w:r w:rsidRPr="00FF0F94">
        <w:rPr>
          <w:bCs/>
          <w:szCs w:val="22"/>
        </w:rPr>
        <w:t xml:space="preserve">, McDonald, G., Kravchuk, O., Gilliham, M., Tyerman, S.D. and Able, A.J. (2014). The Development of Student Research Skills in Second Year Plant Biology. </w:t>
      </w:r>
      <w:r w:rsidRPr="00FF0F94">
        <w:rPr>
          <w:b/>
          <w:bCs/>
          <w:szCs w:val="22"/>
        </w:rPr>
        <w:t>International Journal of Innovation in Science and Mathematics Education</w:t>
      </w:r>
      <w:r w:rsidRPr="00FF0F94">
        <w:rPr>
          <w:bCs/>
          <w:szCs w:val="22"/>
        </w:rPr>
        <w:t xml:space="preserve">, </w:t>
      </w:r>
      <w:r w:rsidRPr="00FF0F94">
        <w:rPr>
          <w:bCs/>
          <w:iCs/>
          <w:szCs w:val="22"/>
        </w:rPr>
        <w:t>22</w:t>
      </w:r>
      <w:r w:rsidRPr="00FF0F94">
        <w:rPr>
          <w:bCs/>
          <w:szCs w:val="22"/>
        </w:rPr>
        <w:t>(3): 15-25</w:t>
      </w:r>
    </w:p>
    <w:p w14:paraId="5C4BAF44" w14:textId="77777777" w:rsidR="007D27F3" w:rsidRPr="00FF0F94" w:rsidRDefault="007D27F3" w:rsidP="007D27F3">
      <w:pPr>
        <w:rPr>
          <w:bCs/>
          <w:szCs w:val="22"/>
        </w:rPr>
      </w:pPr>
    </w:p>
    <w:p w14:paraId="5E8F9F44" w14:textId="77777777" w:rsidR="007D27F3" w:rsidRPr="00FF0F94" w:rsidRDefault="007D27F3" w:rsidP="00FF0F94">
      <w:pPr>
        <w:numPr>
          <w:ilvl w:val="0"/>
          <w:numId w:val="30"/>
        </w:numPr>
        <w:spacing w:line="240" w:lineRule="auto"/>
        <w:rPr>
          <w:bCs/>
          <w:szCs w:val="22"/>
        </w:rPr>
      </w:pPr>
      <w:r w:rsidRPr="00FF0F94">
        <w:rPr>
          <w:bCs/>
          <w:szCs w:val="22"/>
        </w:rPr>
        <w:lastRenderedPageBreak/>
        <w:t xml:space="preserve">Gavrin A., </w:t>
      </w:r>
      <w:r w:rsidRPr="00FF0F94">
        <w:rPr>
          <w:b/>
          <w:bCs/>
          <w:szCs w:val="22"/>
        </w:rPr>
        <w:t>Kaiser, B.N.</w:t>
      </w:r>
      <w:r w:rsidRPr="00FF0F94">
        <w:rPr>
          <w:bCs/>
          <w:szCs w:val="22"/>
        </w:rPr>
        <w:t xml:space="preserve">, Geiger, D., Tyerman, S.D., Wen, Z., Bisseling, T., Fedorova, E.E. (2014). Adjustment of host cells for accommodation of symbiotic bacteria: vacuole defunctionalization, HOPS suppression and TIP1g retargeting. </w:t>
      </w:r>
      <w:r w:rsidRPr="00FF0F94">
        <w:rPr>
          <w:b/>
          <w:bCs/>
          <w:szCs w:val="22"/>
        </w:rPr>
        <w:t>The Plant Cell:</w:t>
      </w:r>
      <w:r w:rsidRPr="00FF0F94">
        <w:rPr>
          <w:rFonts w:ascii="Arial" w:hAnsi="Arial" w:cs="Arial"/>
          <w:color w:val="646464"/>
          <w:szCs w:val="22"/>
        </w:rPr>
        <w:t xml:space="preserve"> </w:t>
      </w:r>
      <w:r w:rsidRPr="00FF0F94">
        <w:rPr>
          <w:bCs/>
          <w:szCs w:val="22"/>
        </w:rPr>
        <w:t>26 (9): 3809-3822</w:t>
      </w:r>
    </w:p>
    <w:p w14:paraId="46DDCC31" w14:textId="77777777" w:rsidR="007D27F3" w:rsidRPr="00FF0F94" w:rsidRDefault="007D27F3" w:rsidP="007D27F3">
      <w:pPr>
        <w:rPr>
          <w:bCs/>
          <w:szCs w:val="22"/>
        </w:rPr>
      </w:pPr>
    </w:p>
    <w:p w14:paraId="45EF617F" w14:textId="77777777" w:rsidR="007D27F3" w:rsidRPr="00FF0F94" w:rsidRDefault="007D27F3" w:rsidP="00FF0F94">
      <w:pPr>
        <w:numPr>
          <w:ilvl w:val="0"/>
          <w:numId w:val="30"/>
        </w:numPr>
        <w:spacing w:line="240" w:lineRule="auto"/>
        <w:rPr>
          <w:bCs/>
          <w:szCs w:val="22"/>
        </w:rPr>
      </w:pPr>
      <w:r w:rsidRPr="00FF0F94">
        <w:rPr>
          <w:szCs w:val="22"/>
        </w:rPr>
        <w:t xml:space="preserve">Chiasson, D.M., Loughlin, P.C., Mazurkiewicz, D., Mohammadidehcheshmeh, M., Fedorova, E., Okamoto, M., McLean, E., Glass, A.D.M., Smith, S.E., Bisseling, T., Tyerman, S.D., Day, D.A., and </w:t>
      </w:r>
      <w:r w:rsidRPr="00FF0F94">
        <w:rPr>
          <w:b/>
          <w:szCs w:val="22"/>
        </w:rPr>
        <w:t>Kaiser, B.N.</w:t>
      </w:r>
      <w:r w:rsidRPr="00FF0F94">
        <w:rPr>
          <w:szCs w:val="22"/>
        </w:rPr>
        <w:t xml:space="preserve"> The soybean </w:t>
      </w:r>
      <w:r w:rsidRPr="00FF0F94">
        <w:rPr>
          <w:i/>
          <w:szCs w:val="22"/>
        </w:rPr>
        <w:t>SAT1</w:t>
      </w:r>
      <w:r w:rsidRPr="00FF0F94">
        <w:rPr>
          <w:szCs w:val="22"/>
        </w:rPr>
        <w:t xml:space="preserve"> (</w:t>
      </w:r>
      <w:r w:rsidRPr="00FF0F94">
        <w:rPr>
          <w:i/>
          <w:szCs w:val="22"/>
        </w:rPr>
        <w:t>Symbiotic Ammonium Transporter 1</w:t>
      </w:r>
      <w:r w:rsidRPr="00FF0F94">
        <w:rPr>
          <w:szCs w:val="22"/>
        </w:rPr>
        <w:t>) encodes a bHLH transcription factor involved in nodule growth and NH</w:t>
      </w:r>
      <w:r w:rsidRPr="00FF0F94">
        <w:rPr>
          <w:szCs w:val="22"/>
          <w:vertAlign w:val="subscript"/>
        </w:rPr>
        <w:t>4</w:t>
      </w:r>
      <w:r w:rsidRPr="00FF0F94">
        <w:rPr>
          <w:szCs w:val="22"/>
          <w:vertAlign w:val="superscript"/>
        </w:rPr>
        <w:t>+</w:t>
      </w:r>
      <w:r w:rsidRPr="00FF0F94">
        <w:rPr>
          <w:szCs w:val="22"/>
        </w:rPr>
        <w:t xml:space="preserve"> transport. (2014) </w:t>
      </w:r>
      <w:r w:rsidRPr="00FF0F94">
        <w:rPr>
          <w:b/>
          <w:szCs w:val="22"/>
        </w:rPr>
        <w:t>Proceedings of the National Academy of Sciences USA</w:t>
      </w:r>
      <w:r w:rsidRPr="00FF0F94">
        <w:rPr>
          <w:szCs w:val="22"/>
        </w:rPr>
        <w:t>: 111: 4814-4819.</w:t>
      </w:r>
    </w:p>
    <w:p w14:paraId="40ACE589" w14:textId="77777777" w:rsidR="007D27F3" w:rsidRPr="00FF0F94" w:rsidRDefault="007D27F3" w:rsidP="007D27F3">
      <w:pPr>
        <w:rPr>
          <w:bCs/>
          <w:szCs w:val="22"/>
        </w:rPr>
      </w:pPr>
    </w:p>
    <w:p w14:paraId="43EE9E5F" w14:textId="77777777" w:rsidR="007D27F3" w:rsidRPr="00FF0F94" w:rsidRDefault="007D27F3" w:rsidP="00FF0F94">
      <w:pPr>
        <w:numPr>
          <w:ilvl w:val="0"/>
          <w:numId w:val="30"/>
        </w:numPr>
        <w:spacing w:line="240" w:lineRule="auto"/>
        <w:rPr>
          <w:bCs/>
          <w:szCs w:val="22"/>
        </w:rPr>
      </w:pPr>
      <w:r w:rsidRPr="00FF0F94">
        <w:rPr>
          <w:bCs/>
          <w:szCs w:val="22"/>
        </w:rPr>
        <w:t xml:space="preserve">Vandeleur, R.K., Sullivan, W., Athman, A., Jordans, C., Gilliham, M., </w:t>
      </w:r>
      <w:r w:rsidRPr="00FF0F94">
        <w:rPr>
          <w:b/>
          <w:bCs/>
          <w:szCs w:val="22"/>
        </w:rPr>
        <w:t>Kaiser, B.N.</w:t>
      </w:r>
      <w:r w:rsidRPr="00FF0F94">
        <w:rPr>
          <w:bCs/>
          <w:szCs w:val="22"/>
        </w:rPr>
        <w:t xml:space="preserve">, Tyerman, S.D. (2014). Rapid shoot-to-root signalling regulates root hydraulic conductance via aquaporins. </w:t>
      </w:r>
      <w:r w:rsidRPr="00FF0F94">
        <w:rPr>
          <w:b/>
          <w:bCs/>
          <w:szCs w:val="22"/>
        </w:rPr>
        <w:t>Plant Cell and Environment</w:t>
      </w:r>
      <w:r w:rsidRPr="00FF0F94">
        <w:rPr>
          <w:bCs/>
          <w:szCs w:val="22"/>
        </w:rPr>
        <w:t xml:space="preserve"> 37(2): 520-38</w:t>
      </w:r>
    </w:p>
    <w:p w14:paraId="343E880A" w14:textId="77777777" w:rsidR="007D27F3" w:rsidRPr="00FF0F94" w:rsidRDefault="007D27F3" w:rsidP="007D27F3">
      <w:pPr>
        <w:rPr>
          <w:bCs/>
          <w:szCs w:val="22"/>
        </w:rPr>
      </w:pPr>
    </w:p>
    <w:p w14:paraId="5DF5C631" w14:textId="77777777" w:rsidR="007D27F3" w:rsidRPr="00FF0F94" w:rsidRDefault="007D27F3" w:rsidP="00FF0F94">
      <w:pPr>
        <w:numPr>
          <w:ilvl w:val="0"/>
          <w:numId w:val="30"/>
        </w:numPr>
        <w:spacing w:line="240" w:lineRule="auto"/>
        <w:rPr>
          <w:bCs/>
          <w:szCs w:val="22"/>
        </w:rPr>
      </w:pPr>
      <w:r w:rsidRPr="00FF0F94">
        <w:rPr>
          <w:bCs/>
          <w:szCs w:val="22"/>
        </w:rPr>
        <w:t xml:space="preserve">Abbaspour, N., </w:t>
      </w:r>
      <w:r w:rsidRPr="00FF0F94">
        <w:rPr>
          <w:b/>
          <w:bCs/>
          <w:szCs w:val="22"/>
        </w:rPr>
        <w:t>Kaiser, B.N.</w:t>
      </w:r>
      <w:r w:rsidRPr="00FF0F94">
        <w:rPr>
          <w:bCs/>
          <w:szCs w:val="22"/>
        </w:rPr>
        <w:t>, Tyerman, S.D. (2013). Root apoplastic transport and water relations cannot account for differences in Cl</w:t>
      </w:r>
      <w:r w:rsidRPr="00FF0F94">
        <w:rPr>
          <w:bCs/>
          <w:szCs w:val="22"/>
          <w:vertAlign w:val="superscript"/>
        </w:rPr>
        <w:t>-</w:t>
      </w:r>
      <w:r w:rsidRPr="00FF0F94">
        <w:rPr>
          <w:bCs/>
          <w:szCs w:val="22"/>
        </w:rPr>
        <w:t xml:space="preserve"> transport and Cl</w:t>
      </w:r>
      <w:r w:rsidRPr="00FF0F94">
        <w:rPr>
          <w:bCs/>
          <w:szCs w:val="22"/>
          <w:vertAlign w:val="superscript"/>
        </w:rPr>
        <w:t>-</w:t>
      </w:r>
      <w:r w:rsidRPr="00FF0F94">
        <w:rPr>
          <w:bCs/>
          <w:szCs w:val="22"/>
        </w:rPr>
        <w:t>/NO</w:t>
      </w:r>
      <w:r w:rsidRPr="00FF0F94">
        <w:rPr>
          <w:bCs/>
          <w:szCs w:val="22"/>
          <w:vertAlign w:val="subscript"/>
        </w:rPr>
        <w:t>3</w:t>
      </w:r>
      <w:r w:rsidRPr="00FF0F94">
        <w:rPr>
          <w:bCs/>
          <w:szCs w:val="22"/>
          <w:vertAlign w:val="superscript"/>
        </w:rPr>
        <w:t>-</w:t>
      </w:r>
      <w:r w:rsidRPr="00FF0F94">
        <w:rPr>
          <w:bCs/>
          <w:szCs w:val="22"/>
        </w:rPr>
        <w:t xml:space="preserve"> interactions of two grapevine rootstocks differing in salt tolerance. </w:t>
      </w:r>
      <w:r w:rsidRPr="00FF0F94">
        <w:rPr>
          <w:b/>
          <w:bCs/>
          <w:szCs w:val="22"/>
        </w:rPr>
        <w:t>Acta Physiologiae Plantarum.</w:t>
      </w:r>
      <w:r w:rsidRPr="00FF0F94">
        <w:rPr>
          <w:bCs/>
          <w:szCs w:val="22"/>
        </w:rPr>
        <w:t xml:space="preserve"> 1-12.</w:t>
      </w:r>
    </w:p>
    <w:p w14:paraId="38C1287B" w14:textId="77777777" w:rsidR="007D27F3" w:rsidRPr="00FF0F94" w:rsidRDefault="007D27F3" w:rsidP="007D27F3">
      <w:pPr>
        <w:rPr>
          <w:bCs/>
          <w:szCs w:val="22"/>
        </w:rPr>
      </w:pPr>
    </w:p>
    <w:p w14:paraId="653AD8FD" w14:textId="77777777" w:rsidR="007D27F3" w:rsidRPr="00FF0F94" w:rsidRDefault="007D27F3" w:rsidP="00FF0F94">
      <w:pPr>
        <w:numPr>
          <w:ilvl w:val="0"/>
          <w:numId w:val="30"/>
        </w:numPr>
        <w:spacing w:line="240" w:lineRule="auto"/>
        <w:rPr>
          <w:bCs/>
          <w:szCs w:val="22"/>
        </w:rPr>
      </w:pPr>
      <w:r w:rsidRPr="00FF0F94">
        <w:rPr>
          <w:bCs/>
          <w:szCs w:val="22"/>
        </w:rPr>
        <w:t xml:space="preserve">Mohammadi-Dehcheshmeh, M., Ebrahimie, E., Tyerman, S.D., </w:t>
      </w:r>
      <w:r w:rsidRPr="00FF0F94">
        <w:rPr>
          <w:b/>
          <w:bCs/>
          <w:szCs w:val="22"/>
        </w:rPr>
        <w:t>Kaiser, B.N.</w:t>
      </w:r>
      <w:r w:rsidRPr="00FF0F94">
        <w:rPr>
          <w:bCs/>
          <w:szCs w:val="22"/>
        </w:rPr>
        <w:t xml:space="preserve"> (2013).</w:t>
      </w:r>
      <w:r w:rsidRPr="00FF0F94">
        <w:rPr>
          <w:bCs/>
          <w:szCs w:val="22"/>
          <w:vertAlign w:val="superscript"/>
        </w:rPr>
        <w:t xml:space="preserve">. </w:t>
      </w:r>
      <w:r w:rsidRPr="00FF0F94">
        <w:rPr>
          <w:bCs/>
          <w:iCs/>
          <w:szCs w:val="22"/>
        </w:rPr>
        <w:t xml:space="preserve">A novel method based on combination of semi-in vitro and in vivo conditions in Agrobacterium rhizogenes-mediated hairy root transformation of Glycine species. </w:t>
      </w:r>
      <w:r w:rsidRPr="00FF0F94">
        <w:rPr>
          <w:b/>
          <w:bCs/>
          <w:iCs/>
          <w:szCs w:val="22"/>
        </w:rPr>
        <w:t>Plant Cell Tissue Organ Culture</w:t>
      </w:r>
      <w:r w:rsidRPr="00FF0F94">
        <w:rPr>
          <w:bCs/>
          <w:iCs/>
          <w:szCs w:val="22"/>
        </w:rPr>
        <w:t xml:space="preserve"> (DOI 10.1007/s11627-013-9575-z).</w:t>
      </w:r>
    </w:p>
    <w:p w14:paraId="1DA347BD" w14:textId="77777777" w:rsidR="007D27F3" w:rsidRPr="00FF0F94" w:rsidRDefault="007D27F3" w:rsidP="007D27F3">
      <w:pPr>
        <w:rPr>
          <w:bCs/>
          <w:szCs w:val="22"/>
        </w:rPr>
      </w:pPr>
    </w:p>
    <w:p w14:paraId="1C03F1BB" w14:textId="77777777" w:rsidR="007D27F3" w:rsidRPr="00FF0F94" w:rsidRDefault="007D27F3" w:rsidP="00FF0F94">
      <w:pPr>
        <w:numPr>
          <w:ilvl w:val="0"/>
          <w:numId w:val="30"/>
        </w:numPr>
        <w:spacing w:line="240" w:lineRule="auto"/>
        <w:rPr>
          <w:bCs/>
          <w:szCs w:val="22"/>
        </w:rPr>
      </w:pPr>
      <w:r w:rsidRPr="00FF0F94">
        <w:rPr>
          <w:bCs/>
          <w:szCs w:val="22"/>
        </w:rPr>
        <w:t xml:space="preserve">Abbaspour N, </w:t>
      </w:r>
      <w:r w:rsidRPr="00FF0F94">
        <w:rPr>
          <w:b/>
          <w:bCs/>
          <w:szCs w:val="22"/>
        </w:rPr>
        <w:t>Kaiser B.N.</w:t>
      </w:r>
      <w:r w:rsidRPr="00FF0F94">
        <w:rPr>
          <w:bCs/>
          <w:szCs w:val="22"/>
        </w:rPr>
        <w:t xml:space="preserve">, Tyerman S. D. (2013). Chloride transport and compartmentation within main and lateral roots of two grapevine rootstocks differing in salt tolerance. </w:t>
      </w:r>
      <w:r w:rsidRPr="00FF0F94">
        <w:rPr>
          <w:b/>
          <w:bCs/>
          <w:szCs w:val="22"/>
        </w:rPr>
        <w:t>Trees</w:t>
      </w:r>
      <w:r w:rsidRPr="00FF0F94">
        <w:rPr>
          <w:bCs/>
          <w:szCs w:val="22"/>
        </w:rPr>
        <w:t>: 1-9.</w:t>
      </w:r>
    </w:p>
    <w:p w14:paraId="5E5D6521" w14:textId="77777777" w:rsidR="007D27F3" w:rsidRPr="00FF0F94" w:rsidRDefault="007D27F3" w:rsidP="007D27F3">
      <w:pPr>
        <w:rPr>
          <w:b/>
          <w:bCs/>
          <w:szCs w:val="22"/>
        </w:rPr>
      </w:pPr>
    </w:p>
    <w:p w14:paraId="3FFD86CB" w14:textId="77777777" w:rsidR="007D27F3" w:rsidRPr="00FF0F94" w:rsidRDefault="007D27F3" w:rsidP="00FF0F94">
      <w:pPr>
        <w:numPr>
          <w:ilvl w:val="0"/>
          <w:numId w:val="30"/>
        </w:numPr>
        <w:spacing w:line="240" w:lineRule="auto"/>
        <w:rPr>
          <w:b/>
          <w:bCs/>
          <w:szCs w:val="22"/>
        </w:rPr>
      </w:pPr>
      <w:r w:rsidRPr="00FF0F94">
        <w:rPr>
          <w:szCs w:val="22"/>
        </w:rPr>
        <w:t xml:space="preserve">Garnett T., Conn, V., Plett, D., Conn, S., Zanghellini, J., Mackenzie, N., Enju, A., Francis, K., Holtham, L., Roessner, U., Broughton, B., Bacic, T., Shirley, N., Rafalski, A., Dhugga, K., Tester, M., and </w:t>
      </w:r>
      <w:r w:rsidRPr="00FF0F94">
        <w:rPr>
          <w:b/>
          <w:szCs w:val="22"/>
        </w:rPr>
        <w:t>Kaiser, B.N.</w:t>
      </w:r>
      <w:r w:rsidRPr="00FF0F94">
        <w:rPr>
          <w:szCs w:val="22"/>
        </w:rPr>
        <w:t xml:space="preserve"> (2013). </w:t>
      </w:r>
      <w:r w:rsidRPr="00FF0F94">
        <w:rPr>
          <w:bCs/>
          <w:szCs w:val="22"/>
        </w:rPr>
        <w:t xml:space="preserve">The response of the maize nitrate transport system to nitrogen demand and supply across the lifecycle. </w:t>
      </w:r>
      <w:r w:rsidRPr="00FF0F94">
        <w:rPr>
          <w:b/>
          <w:bCs/>
          <w:szCs w:val="22"/>
        </w:rPr>
        <w:t>New Phytologist</w:t>
      </w:r>
      <w:r w:rsidRPr="00FF0F94">
        <w:rPr>
          <w:bCs/>
          <w:szCs w:val="22"/>
        </w:rPr>
        <w:t xml:space="preserve"> </w:t>
      </w:r>
      <w:r w:rsidRPr="00FF0F94">
        <w:rPr>
          <w:b/>
          <w:bCs/>
          <w:szCs w:val="22"/>
        </w:rPr>
        <w:t>198 (1):</w:t>
      </w:r>
      <w:r w:rsidRPr="00FF0F94">
        <w:rPr>
          <w:bCs/>
          <w:szCs w:val="22"/>
        </w:rPr>
        <w:t xml:space="preserve"> 82-94.</w:t>
      </w:r>
      <w:bookmarkEnd w:id="1"/>
    </w:p>
    <w:p w14:paraId="7C28F17C" w14:textId="77777777" w:rsidR="007D27F3" w:rsidRPr="00FF0F94" w:rsidRDefault="007D27F3" w:rsidP="007D27F3">
      <w:pPr>
        <w:rPr>
          <w:szCs w:val="22"/>
        </w:rPr>
      </w:pPr>
    </w:p>
    <w:p w14:paraId="49C516C9" w14:textId="77777777" w:rsidR="007D27F3" w:rsidRPr="00FF0F94" w:rsidRDefault="007D27F3" w:rsidP="00FF0F94">
      <w:pPr>
        <w:numPr>
          <w:ilvl w:val="0"/>
          <w:numId w:val="30"/>
        </w:numPr>
        <w:spacing w:line="240" w:lineRule="auto"/>
        <w:rPr>
          <w:szCs w:val="22"/>
        </w:rPr>
      </w:pPr>
      <w:r w:rsidRPr="00FF0F94">
        <w:rPr>
          <w:szCs w:val="22"/>
        </w:rPr>
        <w:t xml:space="preserve">Kotur, Z, Mackenzie, N., Ramesh, S., Tyerman, S.D., </w:t>
      </w:r>
      <w:r w:rsidRPr="00FF0F94">
        <w:rPr>
          <w:b/>
          <w:szCs w:val="22"/>
        </w:rPr>
        <w:t>Kaiser, B.N.</w:t>
      </w:r>
      <w:r w:rsidRPr="00FF0F94">
        <w:rPr>
          <w:szCs w:val="22"/>
        </w:rPr>
        <w:t xml:space="preserve">, Glass, A.D.M. (2012). Nitrate transport capacity of the Arabidopsis thaliana NRT2 family members and their interactions with AtNAR2.1. </w:t>
      </w:r>
      <w:r w:rsidRPr="00FF0F94">
        <w:rPr>
          <w:b/>
          <w:szCs w:val="22"/>
        </w:rPr>
        <w:t>New Phytologist</w:t>
      </w:r>
      <w:r w:rsidRPr="00FF0F94">
        <w:rPr>
          <w:szCs w:val="22"/>
        </w:rPr>
        <w:t xml:space="preserve"> </w:t>
      </w:r>
      <w:r w:rsidRPr="00FF0F94">
        <w:rPr>
          <w:b/>
          <w:szCs w:val="22"/>
        </w:rPr>
        <w:t>194(3)</w:t>
      </w:r>
      <w:r w:rsidRPr="00FF0F94">
        <w:rPr>
          <w:szCs w:val="22"/>
        </w:rPr>
        <w:t>: 724-731.</w:t>
      </w:r>
    </w:p>
    <w:p w14:paraId="2907F6DC" w14:textId="77777777" w:rsidR="007D27F3" w:rsidRPr="00FF0F94" w:rsidRDefault="007D27F3" w:rsidP="007D27F3">
      <w:pPr>
        <w:rPr>
          <w:szCs w:val="22"/>
        </w:rPr>
      </w:pPr>
    </w:p>
    <w:p w14:paraId="31962798" w14:textId="77777777" w:rsidR="007D27F3" w:rsidRPr="00FF0F94" w:rsidRDefault="007D27F3" w:rsidP="00FF0F94">
      <w:pPr>
        <w:numPr>
          <w:ilvl w:val="0"/>
          <w:numId w:val="30"/>
        </w:numPr>
        <w:spacing w:line="240" w:lineRule="auto"/>
        <w:rPr>
          <w:szCs w:val="22"/>
        </w:rPr>
      </w:pPr>
      <w:r w:rsidRPr="00FF0F94">
        <w:rPr>
          <w:szCs w:val="22"/>
        </w:rPr>
        <w:t xml:space="preserve">Seifi, E., Guerin, J., </w:t>
      </w:r>
      <w:r w:rsidRPr="00FF0F94">
        <w:rPr>
          <w:b/>
          <w:szCs w:val="22"/>
        </w:rPr>
        <w:t>Kaiser, B.N.</w:t>
      </w:r>
      <w:r w:rsidRPr="00FF0F94">
        <w:rPr>
          <w:szCs w:val="22"/>
        </w:rPr>
        <w:t xml:space="preserve"> Sedgley, M. (2012). </w:t>
      </w:r>
      <w:r w:rsidRPr="00FF0F94">
        <w:rPr>
          <w:bCs/>
          <w:szCs w:val="22"/>
        </w:rPr>
        <w:t xml:space="preserve">Sexual compatibility of the olive cultivar ‘Kalamata’ assessed by paternity analysis. </w:t>
      </w:r>
      <w:r w:rsidRPr="00FF0F94">
        <w:rPr>
          <w:b/>
          <w:bCs/>
          <w:szCs w:val="22"/>
        </w:rPr>
        <w:t>Spanish Journal of Agricultural Research 10(3):</w:t>
      </w:r>
      <w:r w:rsidRPr="00FF0F94">
        <w:rPr>
          <w:bCs/>
          <w:szCs w:val="22"/>
        </w:rPr>
        <w:t xml:space="preserve"> 731-740.</w:t>
      </w:r>
    </w:p>
    <w:p w14:paraId="6879CB9B" w14:textId="77777777" w:rsidR="007D27F3" w:rsidRPr="00FF0F94" w:rsidRDefault="007D27F3" w:rsidP="007D27F3">
      <w:pPr>
        <w:rPr>
          <w:szCs w:val="22"/>
        </w:rPr>
      </w:pPr>
    </w:p>
    <w:p w14:paraId="2384EDE6" w14:textId="77777777" w:rsidR="007D27F3" w:rsidRPr="00FF0F94" w:rsidRDefault="007D27F3" w:rsidP="00FF0F94">
      <w:pPr>
        <w:numPr>
          <w:ilvl w:val="0"/>
          <w:numId w:val="30"/>
        </w:numPr>
        <w:spacing w:line="240" w:lineRule="auto"/>
        <w:rPr>
          <w:szCs w:val="22"/>
        </w:rPr>
      </w:pPr>
      <w:r w:rsidRPr="00FF0F94">
        <w:rPr>
          <w:szCs w:val="22"/>
        </w:rPr>
        <w:t xml:space="preserve">Gilliham, M., Dayod, M., Hocking, B., Xu, B., Conn, S. </w:t>
      </w:r>
      <w:r w:rsidRPr="00FF0F94">
        <w:rPr>
          <w:b/>
          <w:szCs w:val="22"/>
        </w:rPr>
        <w:t>Kaiser, B.N.</w:t>
      </w:r>
      <w:r w:rsidRPr="00FF0F94">
        <w:rPr>
          <w:szCs w:val="22"/>
        </w:rPr>
        <w:t xml:space="preserve"> Leigh, R.A., Tyerman, S.D. (2011). Exploring the link between water movement and calcium storage in plant leaves. </w:t>
      </w:r>
      <w:r w:rsidRPr="00FF0F94">
        <w:rPr>
          <w:b/>
          <w:szCs w:val="22"/>
        </w:rPr>
        <w:t>Journal of Experimental Botany</w:t>
      </w:r>
      <w:r w:rsidRPr="00FF0F94">
        <w:rPr>
          <w:szCs w:val="22"/>
        </w:rPr>
        <w:t xml:space="preserve"> </w:t>
      </w:r>
      <w:r w:rsidRPr="00FF0F94">
        <w:rPr>
          <w:b/>
          <w:szCs w:val="22"/>
        </w:rPr>
        <w:t>62(7)</w:t>
      </w:r>
      <w:r w:rsidRPr="00FF0F94">
        <w:rPr>
          <w:szCs w:val="22"/>
        </w:rPr>
        <w:t>: 2233-2250.</w:t>
      </w:r>
    </w:p>
    <w:p w14:paraId="3DA75C4F" w14:textId="77777777" w:rsidR="007D27F3" w:rsidRPr="00FF0F94" w:rsidRDefault="007D27F3" w:rsidP="007D27F3">
      <w:pPr>
        <w:rPr>
          <w:szCs w:val="22"/>
        </w:rPr>
      </w:pPr>
    </w:p>
    <w:p w14:paraId="588D0EAD" w14:textId="77777777" w:rsidR="007D27F3" w:rsidRPr="00FF0F94" w:rsidRDefault="007D27F3" w:rsidP="00FF0F94">
      <w:pPr>
        <w:numPr>
          <w:ilvl w:val="0"/>
          <w:numId w:val="30"/>
        </w:numPr>
        <w:spacing w:line="240" w:lineRule="auto"/>
        <w:rPr>
          <w:szCs w:val="22"/>
        </w:rPr>
      </w:pPr>
      <w:r w:rsidRPr="00FF0F94">
        <w:rPr>
          <w:szCs w:val="22"/>
        </w:rPr>
        <w:t xml:space="preserve">Seifi, E., Guerin, J., </w:t>
      </w:r>
      <w:r w:rsidRPr="00FF0F94">
        <w:rPr>
          <w:b/>
          <w:szCs w:val="22"/>
        </w:rPr>
        <w:t>Kaiser, B.N.</w:t>
      </w:r>
      <w:r w:rsidRPr="00FF0F94">
        <w:rPr>
          <w:szCs w:val="22"/>
        </w:rPr>
        <w:t xml:space="preserve">, Sedgley, M. (2011). Sexual Compatibility and Floral Biology of some Olive Cultivars. </w:t>
      </w:r>
      <w:r w:rsidRPr="00FF0F94">
        <w:rPr>
          <w:b/>
          <w:szCs w:val="22"/>
        </w:rPr>
        <w:t>New Zealand Journal of Crop and Horticultural Science</w:t>
      </w:r>
      <w:r w:rsidRPr="00FF0F94">
        <w:rPr>
          <w:szCs w:val="22"/>
        </w:rPr>
        <w:t xml:space="preserve"> </w:t>
      </w:r>
      <w:r w:rsidRPr="00FF0F94">
        <w:rPr>
          <w:b/>
          <w:szCs w:val="22"/>
        </w:rPr>
        <w:t>39 (2)</w:t>
      </w:r>
      <w:r w:rsidRPr="00FF0F94">
        <w:rPr>
          <w:szCs w:val="22"/>
        </w:rPr>
        <w:t>: 141-151, ERA B.</w:t>
      </w:r>
    </w:p>
    <w:p w14:paraId="3678E3BB" w14:textId="77777777" w:rsidR="007D27F3" w:rsidRPr="00FF0F94" w:rsidRDefault="007D27F3" w:rsidP="007D27F3">
      <w:pPr>
        <w:rPr>
          <w:szCs w:val="22"/>
        </w:rPr>
      </w:pPr>
    </w:p>
    <w:p w14:paraId="56C55174" w14:textId="77777777" w:rsidR="007D27F3" w:rsidRPr="00FF0F94" w:rsidRDefault="007D27F3" w:rsidP="00FF0F94">
      <w:pPr>
        <w:numPr>
          <w:ilvl w:val="0"/>
          <w:numId w:val="30"/>
        </w:numPr>
        <w:spacing w:line="240" w:lineRule="auto"/>
        <w:rPr>
          <w:szCs w:val="22"/>
        </w:rPr>
      </w:pPr>
      <w:r w:rsidRPr="00FF0F94">
        <w:rPr>
          <w:szCs w:val="22"/>
        </w:rPr>
        <w:t xml:space="preserve">Conn, S.J., Gilliham, M., Athman, A., Schreiber, A.W., Baumann, U., Moller, I., Cheng, N., Stancombe, M.A., Hirschi, K.D., Webb, A.A.R, Burton, R., </w:t>
      </w:r>
      <w:r w:rsidRPr="00FF0F94">
        <w:rPr>
          <w:b/>
          <w:szCs w:val="22"/>
        </w:rPr>
        <w:t>Kaiser, B.N.</w:t>
      </w:r>
      <w:r w:rsidRPr="00FF0F94">
        <w:rPr>
          <w:szCs w:val="22"/>
        </w:rPr>
        <w:t xml:space="preserve">, Tyerman, S.D., Leigh, R.A. (2011). Cell-Specific Vacuolar Calcium Storage Mediated by CAX1 Regulates Apoplastic Calcium Concentration, Gas Exchange, and Plant Productivity in Arabidopsis. </w:t>
      </w:r>
      <w:r w:rsidRPr="00FF0F94">
        <w:rPr>
          <w:b/>
          <w:szCs w:val="22"/>
        </w:rPr>
        <w:t>The Plant Cell</w:t>
      </w:r>
      <w:r w:rsidRPr="00FF0F94">
        <w:rPr>
          <w:szCs w:val="22"/>
        </w:rPr>
        <w:t xml:space="preserve"> </w:t>
      </w:r>
      <w:r w:rsidRPr="00FF0F94">
        <w:rPr>
          <w:b/>
          <w:szCs w:val="22"/>
        </w:rPr>
        <w:t>23(1):</w:t>
      </w:r>
      <w:r w:rsidRPr="00FF0F94">
        <w:rPr>
          <w:szCs w:val="22"/>
        </w:rPr>
        <w:t xml:space="preserve"> 240-257.</w:t>
      </w:r>
    </w:p>
    <w:p w14:paraId="6AD2A4C8" w14:textId="77777777" w:rsidR="007D27F3" w:rsidRPr="00FF0F94" w:rsidRDefault="007D27F3" w:rsidP="007D27F3">
      <w:pPr>
        <w:rPr>
          <w:szCs w:val="22"/>
        </w:rPr>
      </w:pPr>
    </w:p>
    <w:p w14:paraId="2E087E19" w14:textId="77777777" w:rsidR="007D27F3" w:rsidRPr="00FF0F94" w:rsidRDefault="007D27F3" w:rsidP="00FF0F94">
      <w:pPr>
        <w:numPr>
          <w:ilvl w:val="0"/>
          <w:numId w:val="30"/>
        </w:numPr>
        <w:spacing w:line="240" w:lineRule="auto"/>
        <w:rPr>
          <w:szCs w:val="22"/>
        </w:rPr>
      </w:pPr>
      <w:r w:rsidRPr="00FF0F94">
        <w:rPr>
          <w:szCs w:val="22"/>
        </w:rPr>
        <w:t xml:space="preserve">Conn, S., Conn, V., </w:t>
      </w:r>
      <w:r w:rsidRPr="00FF0F94">
        <w:rPr>
          <w:b/>
          <w:szCs w:val="22"/>
        </w:rPr>
        <w:t>Kaiser, B.N.</w:t>
      </w:r>
      <w:r w:rsidRPr="00FF0F94">
        <w:rPr>
          <w:szCs w:val="22"/>
        </w:rPr>
        <w:t xml:space="preserve">, Tyerman, S.D., Leigh, R.A., Gilliham, M. (2011). Arabidopsis magnesium transporters, MGT2/MRS2-1 and MGT3/MRS2-5, are important for magnesium partitioning within </w:t>
      </w:r>
      <w:r w:rsidRPr="00FF0F94">
        <w:rPr>
          <w:i/>
          <w:szCs w:val="22"/>
        </w:rPr>
        <w:t>Arabidopsis thaliana</w:t>
      </w:r>
      <w:r w:rsidRPr="00FF0F94">
        <w:rPr>
          <w:szCs w:val="22"/>
        </w:rPr>
        <w:t xml:space="preserve"> mesophyll vacuoles. </w:t>
      </w:r>
      <w:r w:rsidRPr="00FF0F94">
        <w:rPr>
          <w:b/>
          <w:szCs w:val="22"/>
        </w:rPr>
        <w:t>New Phytologist</w:t>
      </w:r>
      <w:r w:rsidRPr="00FF0F94">
        <w:rPr>
          <w:szCs w:val="22"/>
        </w:rPr>
        <w:t xml:space="preserve"> </w:t>
      </w:r>
      <w:r w:rsidRPr="00FF0F94">
        <w:rPr>
          <w:b/>
          <w:szCs w:val="22"/>
        </w:rPr>
        <w:t>190(3)</w:t>
      </w:r>
      <w:r w:rsidRPr="00FF0F94">
        <w:rPr>
          <w:szCs w:val="22"/>
        </w:rPr>
        <w:t>: 583-94.</w:t>
      </w:r>
    </w:p>
    <w:p w14:paraId="16DA5F39" w14:textId="77777777" w:rsidR="007D27F3" w:rsidRPr="00FF0F94" w:rsidRDefault="007D27F3" w:rsidP="007D27F3">
      <w:pPr>
        <w:rPr>
          <w:szCs w:val="22"/>
        </w:rPr>
      </w:pPr>
    </w:p>
    <w:p w14:paraId="5283D4E3" w14:textId="77777777" w:rsidR="007D27F3" w:rsidRPr="00FF0F94" w:rsidRDefault="007D27F3" w:rsidP="00FF0F94">
      <w:pPr>
        <w:numPr>
          <w:ilvl w:val="0"/>
          <w:numId w:val="30"/>
        </w:numPr>
        <w:spacing w:line="240" w:lineRule="auto"/>
        <w:rPr>
          <w:szCs w:val="22"/>
        </w:rPr>
      </w:pPr>
      <w:r w:rsidRPr="00FF0F94">
        <w:rPr>
          <w:szCs w:val="22"/>
        </w:rPr>
        <w:t xml:space="preserve">Plett, D., Toubia, J., Garnett, T., Tester, M.A., </w:t>
      </w:r>
      <w:r w:rsidRPr="00FF0F94">
        <w:rPr>
          <w:b/>
          <w:szCs w:val="22"/>
          <w:vertAlign w:val="superscript"/>
        </w:rPr>
        <w:t>†</w:t>
      </w:r>
      <w:r w:rsidRPr="00FF0F94">
        <w:rPr>
          <w:b/>
          <w:szCs w:val="22"/>
        </w:rPr>
        <w:t>Kaiser, B.N.</w:t>
      </w:r>
      <w:r w:rsidRPr="00FF0F94">
        <w:rPr>
          <w:szCs w:val="22"/>
        </w:rPr>
        <w:t xml:space="preserve">, Baumann, U. (2010). Dichotomy in the NRT gene families of dicots and grass species. </w:t>
      </w:r>
      <w:r w:rsidRPr="00FF0F94">
        <w:rPr>
          <w:b/>
          <w:szCs w:val="22"/>
        </w:rPr>
        <w:t>PLoS ONE 5(12):</w:t>
      </w:r>
      <w:r w:rsidRPr="00FF0F94">
        <w:rPr>
          <w:szCs w:val="22"/>
        </w:rPr>
        <w:t xml:space="preserve"> e15289. doi:10.1371/journal.pone.0015289. </w:t>
      </w:r>
      <w:r w:rsidRPr="00FF0F94">
        <w:rPr>
          <w:b/>
          <w:szCs w:val="22"/>
          <w:vertAlign w:val="superscript"/>
        </w:rPr>
        <w:t>†</w:t>
      </w:r>
      <w:r w:rsidRPr="00FF0F94">
        <w:rPr>
          <w:szCs w:val="22"/>
        </w:rPr>
        <w:t>Corresponding Author</w:t>
      </w:r>
    </w:p>
    <w:p w14:paraId="268AF7BC" w14:textId="77777777" w:rsidR="007D27F3" w:rsidRPr="00FF0F94" w:rsidRDefault="007D27F3" w:rsidP="007D27F3">
      <w:pPr>
        <w:rPr>
          <w:szCs w:val="22"/>
        </w:rPr>
      </w:pPr>
    </w:p>
    <w:p w14:paraId="3C4EB705" w14:textId="77777777" w:rsidR="007D27F3" w:rsidRPr="00FF0F94" w:rsidRDefault="007D27F3" w:rsidP="00FF0F94">
      <w:pPr>
        <w:numPr>
          <w:ilvl w:val="0"/>
          <w:numId w:val="30"/>
        </w:numPr>
        <w:spacing w:line="240" w:lineRule="auto"/>
        <w:rPr>
          <w:szCs w:val="22"/>
        </w:rPr>
      </w:pPr>
      <w:r w:rsidRPr="00FF0F94">
        <w:rPr>
          <w:szCs w:val="22"/>
        </w:rPr>
        <w:t xml:space="preserve">DeFalco, T.A., Chiasson, D., Munro, K., </w:t>
      </w:r>
      <w:r w:rsidRPr="00FF0F94">
        <w:rPr>
          <w:b/>
          <w:szCs w:val="22"/>
        </w:rPr>
        <w:t>Kaiser, B.N.</w:t>
      </w:r>
      <w:r w:rsidRPr="00FF0F94">
        <w:rPr>
          <w:szCs w:val="22"/>
        </w:rPr>
        <w:t xml:space="preserve">, Snedden, W.A. (2010). Biochemical characterization of the soybean calmodulin-binding receptor-like kinase GmCaMK1 and the CaMK family of plants. </w:t>
      </w:r>
      <w:r w:rsidRPr="00FF0F94">
        <w:rPr>
          <w:b/>
          <w:szCs w:val="22"/>
        </w:rPr>
        <w:t>Febs Letters 584(23)</w:t>
      </w:r>
      <w:r w:rsidRPr="00FF0F94">
        <w:rPr>
          <w:szCs w:val="22"/>
        </w:rPr>
        <w:t>: 4717-4724.</w:t>
      </w:r>
    </w:p>
    <w:p w14:paraId="32D01ED9" w14:textId="77777777" w:rsidR="007D27F3" w:rsidRPr="00FF0F94" w:rsidRDefault="007D27F3" w:rsidP="007D27F3">
      <w:pPr>
        <w:rPr>
          <w:b/>
          <w:szCs w:val="22"/>
        </w:rPr>
      </w:pPr>
    </w:p>
    <w:p w14:paraId="753C311D" w14:textId="77777777" w:rsidR="007D27F3" w:rsidRPr="00FF0F94" w:rsidRDefault="007D27F3" w:rsidP="00FF0F94">
      <w:pPr>
        <w:numPr>
          <w:ilvl w:val="0"/>
          <w:numId w:val="30"/>
        </w:numPr>
        <w:spacing w:line="240" w:lineRule="auto"/>
        <w:rPr>
          <w:szCs w:val="22"/>
        </w:rPr>
      </w:pPr>
      <w:r w:rsidRPr="00FF0F94">
        <w:rPr>
          <w:b/>
          <w:szCs w:val="22"/>
        </w:rPr>
        <w:t>Kaiser, B.N.</w:t>
      </w:r>
      <w:r w:rsidRPr="00FF0F94">
        <w:rPr>
          <w:szCs w:val="22"/>
        </w:rPr>
        <w:t xml:space="preserve">, Hrmova M. (2010). A Glimpse at Regulation of Nitrogen Homeostasis, </w:t>
      </w:r>
      <w:r w:rsidRPr="00FF0F94">
        <w:rPr>
          <w:b/>
          <w:szCs w:val="22"/>
        </w:rPr>
        <w:t>Structure</w:t>
      </w:r>
      <w:r w:rsidRPr="00FF0F94">
        <w:rPr>
          <w:szCs w:val="22"/>
        </w:rPr>
        <w:t xml:space="preserve"> </w:t>
      </w:r>
      <w:r w:rsidRPr="00FF0F94">
        <w:rPr>
          <w:b/>
          <w:szCs w:val="22"/>
        </w:rPr>
        <w:t>21(5):</w:t>
      </w:r>
      <w:r w:rsidRPr="00FF0F94">
        <w:rPr>
          <w:szCs w:val="22"/>
        </w:rPr>
        <w:t xml:space="preserve"> 641-651.</w:t>
      </w:r>
    </w:p>
    <w:p w14:paraId="21350DEA" w14:textId="77777777" w:rsidR="007D27F3" w:rsidRPr="00FF0F94" w:rsidRDefault="007D27F3" w:rsidP="007D27F3">
      <w:pPr>
        <w:rPr>
          <w:szCs w:val="22"/>
        </w:rPr>
      </w:pPr>
    </w:p>
    <w:p w14:paraId="0B637E89" w14:textId="77777777" w:rsidR="007D27F3" w:rsidRPr="00FF0F94" w:rsidRDefault="007D27F3" w:rsidP="00FF0F94">
      <w:pPr>
        <w:numPr>
          <w:ilvl w:val="0"/>
          <w:numId w:val="30"/>
        </w:numPr>
        <w:spacing w:line="240" w:lineRule="auto"/>
        <w:rPr>
          <w:szCs w:val="22"/>
        </w:rPr>
      </w:pPr>
      <w:r w:rsidRPr="00FF0F94">
        <w:rPr>
          <w:szCs w:val="22"/>
        </w:rPr>
        <w:t xml:space="preserve">Garnett, T., Conn, V. and </w:t>
      </w:r>
      <w:r w:rsidRPr="00FF0F94">
        <w:rPr>
          <w:b/>
          <w:szCs w:val="22"/>
        </w:rPr>
        <w:t>Kaiser, B.N.</w:t>
      </w:r>
      <w:r w:rsidRPr="00FF0F94">
        <w:rPr>
          <w:szCs w:val="22"/>
        </w:rPr>
        <w:t xml:space="preserve"> (2009). Root based approaches to improving nitrogen use efficiency in plants.  </w:t>
      </w:r>
      <w:r w:rsidRPr="00FF0F94">
        <w:rPr>
          <w:b/>
          <w:szCs w:val="22"/>
        </w:rPr>
        <w:t>Plant Cell &amp; Environment</w:t>
      </w:r>
      <w:r w:rsidRPr="00FF0F94">
        <w:rPr>
          <w:szCs w:val="22"/>
        </w:rPr>
        <w:t xml:space="preserve"> </w:t>
      </w:r>
      <w:r w:rsidRPr="00FF0F94">
        <w:rPr>
          <w:b/>
          <w:szCs w:val="22"/>
        </w:rPr>
        <w:t>32:</w:t>
      </w:r>
      <w:r w:rsidRPr="00FF0F94">
        <w:rPr>
          <w:szCs w:val="22"/>
        </w:rPr>
        <w:t>1272-83.</w:t>
      </w:r>
    </w:p>
    <w:p w14:paraId="02FA0DEA" w14:textId="77777777" w:rsidR="007D27F3" w:rsidRPr="00FF0F94" w:rsidRDefault="007D27F3" w:rsidP="007D27F3">
      <w:pPr>
        <w:rPr>
          <w:szCs w:val="22"/>
        </w:rPr>
      </w:pPr>
    </w:p>
    <w:p w14:paraId="4DF469B4" w14:textId="77777777" w:rsidR="007D27F3" w:rsidRPr="00FF0F94" w:rsidRDefault="007D27F3" w:rsidP="00FF0F94">
      <w:pPr>
        <w:numPr>
          <w:ilvl w:val="0"/>
          <w:numId w:val="30"/>
        </w:numPr>
        <w:spacing w:line="240" w:lineRule="auto"/>
        <w:rPr>
          <w:szCs w:val="22"/>
        </w:rPr>
      </w:pPr>
      <w:r w:rsidRPr="00FF0F94">
        <w:rPr>
          <w:szCs w:val="22"/>
        </w:rPr>
        <w:t xml:space="preserve">Shelden, M.C., Howitt, S.M., </w:t>
      </w:r>
      <w:r w:rsidRPr="00FF0F94">
        <w:rPr>
          <w:b/>
          <w:szCs w:val="22"/>
        </w:rPr>
        <w:t>Kaiser, B.N.</w:t>
      </w:r>
      <w:r w:rsidRPr="00FF0F94">
        <w:rPr>
          <w:szCs w:val="22"/>
        </w:rPr>
        <w:t xml:space="preserve"> and Tyerman, S.D. (2009). Identification and functional characterisation of aquaporins in the grapevine, </w:t>
      </w:r>
      <w:r w:rsidRPr="00FF0F94">
        <w:rPr>
          <w:i/>
          <w:szCs w:val="22"/>
        </w:rPr>
        <w:t>Vitis vinifera</w:t>
      </w:r>
      <w:r w:rsidRPr="00FF0F94">
        <w:rPr>
          <w:szCs w:val="22"/>
        </w:rPr>
        <w:t xml:space="preserve">. </w:t>
      </w:r>
      <w:r w:rsidRPr="00FF0F94">
        <w:rPr>
          <w:b/>
          <w:szCs w:val="22"/>
        </w:rPr>
        <w:t xml:space="preserve">Functional Plant Biology 36: </w:t>
      </w:r>
      <w:r w:rsidRPr="00FF0F94">
        <w:rPr>
          <w:szCs w:val="22"/>
        </w:rPr>
        <w:t>1065-78.</w:t>
      </w:r>
    </w:p>
    <w:p w14:paraId="3487F1DD" w14:textId="77777777" w:rsidR="007D27F3" w:rsidRPr="00FF0F94" w:rsidRDefault="007D27F3" w:rsidP="007D27F3">
      <w:pPr>
        <w:rPr>
          <w:szCs w:val="22"/>
        </w:rPr>
      </w:pPr>
    </w:p>
    <w:p w14:paraId="5E568319" w14:textId="77777777" w:rsidR="007D27F3" w:rsidRPr="00FF0F94" w:rsidRDefault="007D27F3" w:rsidP="00FF0F94">
      <w:pPr>
        <w:numPr>
          <w:ilvl w:val="0"/>
          <w:numId w:val="30"/>
        </w:numPr>
        <w:spacing w:line="240" w:lineRule="auto"/>
        <w:rPr>
          <w:szCs w:val="22"/>
        </w:rPr>
      </w:pPr>
      <w:r w:rsidRPr="00FF0F94">
        <w:rPr>
          <w:szCs w:val="22"/>
        </w:rPr>
        <w:t xml:space="preserve">Vandeleur, R.K., Mayo, G., Shelden, M.C., Gilliham, M., </w:t>
      </w:r>
      <w:r w:rsidRPr="00FF0F94">
        <w:rPr>
          <w:b/>
          <w:szCs w:val="22"/>
        </w:rPr>
        <w:t>Kaiser, B.N.</w:t>
      </w:r>
      <w:r w:rsidRPr="00FF0F94">
        <w:rPr>
          <w:szCs w:val="22"/>
        </w:rPr>
        <w:t xml:space="preserve"> and Tyerman, S.D. (2009). The role of plasma membrane intrinsic protein aquaporins in water transport through roots: diurnal and drought stress responses reveal different strategies between isohydric and anisohydric cultivars of grapevine. </w:t>
      </w:r>
      <w:r w:rsidRPr="00FF0F94">
        <w:rPr>
          <w:b/>
          <w:szCs w:val="22"/>
        </w:rPr>
        <w:t xml:space="preserve">Plant Physiology 149: </w:t>
      </w:r>
      <w:r w:rsidRPr="00FF0F94">
        <w:rPr>
          <w:szCs w:val="22"/>
        </w:rPr>
        <w:t>445-60.</w:t>
      </w:r>
    </w:p>
    <w:p w14:paraId="37F051CA" w14:textId="77777777" w:rsidR="007D27F3" w:rsidRPr="00FF0F94" w:rsidRDefault="007D27F3" w:rsidP="007D27F3">
      <w:pPr>
        <w:rPr>
          <w:szCs w:val="22"/>
        </w:rPr>
      </w:pPr>
    </w:p>
    <w:p w14:paraId="197E87F4" w14:textId="77777777" w:rsidR="007D27F3" w:rsidRPr="00FF0F94" w:rsidRDefault="007D27F3" w:rsidP="00FF0F94">
      <w:pPr>
        <w:numPr>
          <w:ilvl w:val="0"/>
          <w:numId w:val="30"/>
        </w:numPr>
        <w:spacing w:line="240" w:lineRule="auto"/>
        <w:rPr>
          <w:szCs w:val="22"/>
        </w:rPr>
      </w:pPr>
      <w:r w:rsidRPr="00FF0F94">
        <w:rPr>
          <w:szCs w:val="22"/>
        </w:rPr>
        <w:t xml:space="preserve">Fitzpatrick, K.L., Tyerman, S.D. and </w:t>
      </w:r>
      <w:r w:rsidRPr="00FF0F94">
        <w:rPr>
          <w:b/>
          <w:szCs w:val="22"/>
        </w:rPr>
        <w:t>Kaiser, B.N.</w:t>
      </w:r>
      <w:r w:rsidRPr="00FF0F94">
        <w:rPr>
          <w:szCs w:val="22"/>
        </w:rPr>
        <w:t xml:space="preserve"> (2008). Molybdate transport through the plant sulfate transporter SHST1. </w:t>
      </w:r>
      <w:r w:rsidRPr="00FF0F94">
        <w:rPr>
          <w:b/>
          <w:szCs w:val="22"/>
        </w:rPr>
        <w:t>FEBS Letters 582:</w:t>
      </w:r>
      <w:r w:rsidRPr="00FF0F94">
        <w:rPr>
          <w:szCs w:val="22"/>
        </w:rPr>
        <w:t>1508–13.</w:t>
      </w:r>
    </w:p>
    <w:p w14:paraId="26325FC1" w14:textId="77777777" w:rsidR="007D27F3" w:rsidRPr="00FF0F94" w:rsidRDefault="007D27F3" w:rsidP="007D27F3">
      <w:pPr>
        <w:rPr>
          <w:szCs w:val="22"/>
        </w:rPr>
      </w:pPr>
    </w:p>
    <w:p w14:paraId="759026DB" w14:textId="77777777" w:rsidR="007D27F3" w:rsidRPr="00FF0F94" w:rsidRDefault="007D27F3" w:rsidP="00FF0F94">
      <w:pPr>
        <w:numPr>
          <w:ilvl w:val="0"/>
          <w:numId w:val="30"/>
        </w:numPr>
        <w:spacing w:line="240" w:lineRule="auto"/>
        <w:rPr>
          <w:szCs w:val="22"/>
        </w:rPr>
      </w:pPr>
      <w:r w:rsidRPr="00FF0F94">
        <w:rPr>
          <w:szCs w:val="22"/>
        </w:rPr>
        <w:t xml:space="preserve">Franks, T.K., Yadollahi, A., Wirthensohn, M.G., Guerin, J.R., </w:t>
      </w:r>
      <w:r w:rsidRPr="00FF0F94">
        <w:rPr>
          <w:b/>
          <w:szCs w:val="22"/>
        </w:rPr>
        <w:t>Kaiser, B.N.</w:t>
      </w:r>
      <w:r w:rsidRPr="00FF0F94">
        <w:rPr>
          <w:szCs w:val="22"/>
        </w:rPr>
        <w:t>, Sedgley, M., Ford, C.M. (2008). A seed coat cyanohydrin glucosyltransferase is associated with bitterness in almond (</w:t>
      </w:r>
      <w:r w:rsidRPr="00FF0F94">
        <w:rPr>
          <w:i/>
          <w:szCs w:val="22"/>
        </w:rPr>
        <w:t>Prunus dulcis</w:t>
      </w:r>
      <w:r w:rsidRPr="00FF0F94">
        <w:rPr>
          <w:szCs w:val="22"/>
        </w:rPr>
        <w:t xml:space="preserve">) kernels. </w:t>
      </w:r>
      <w:r w:rsidRPr="00FF0F94">
        <w:rPr>
          <w:b/>
          <w:szCs w:val="22"/>
        </w:rPr>
        <w:t>Functional Plant Biology 35:</w:t>
      </w:r>
      <w:r w:rsidRPr="00FF0F94">
        <w:rPr>
          <w:szCs w:val="22"/>
        </w:rPr>
        <w:t>236–46.</w:t>
      </w:r>
    </w:p>
    <w:p w14:paraId="362FA528" w14:textId="77777777" w:rsidR="007D27F3" w:rsidRPr="00FF0F94" w:rsidRDefault="007D27F3" w:rsidP="007D27F3">
      <w:pPr>
        <w:rPr>
          <w:szCs w:val="22"/>
        </w:rPr>
      </w:pPr>
    </w:p>
    <w:p w14:paraId="5CDFC446" w14:textId="77777777" w:rsidR="007D27F3" w:rsidRPr="00FF0F94" w:rsidRDefault="007D27F3" w:rsidP="00FF0F94">
      <w:pPr>
        <w:numPr>
          <w:ilvl w:val="0"/>
          <w:numId w:val="30"/>
        </w:numPr>
        <w:spacing w:line="240" w:lineRule="auto"/>
        <w:rPr>
          <w:szCs w:val="22"/>
        </w:rPr>
      </w:pPr>
      <w:r w:rsidRPr="00FF0F94">
        <w:rPr>
          <w:szCs w:val="22"/>
        </w:rPr>
        <w:t xml:space="preserve">Seifi, E., Guerin, J., </w:t>
      </w:r>
      <w:r w:rsidRPr="00FF0F94">
        <w:rPr>
          <w:b/>
          <w:szCs w:val="22"/>
        </w:rPr>
        <w:t>Kaiser, B.N.</w:t>
      </w:r>
      <w:r w:rsidRPr="00FF0F94">
        <w:rPr>
          <w:szCs w:val="22"/>
        </w:rPr>
        <w:t xml:space="preserve"> and Sedgley, M. (2008). Inflorescence architecture of olive. </w:t>
      </w:r>
      <w:r w:rsidRPr="00FF0F94">
        <w:rPr>
          <w:b/>
          <w:szCs w:val="22"/>
        </w:rPr>
        <w:t>Scientia Horticulturae 116(3):</w:t>
      </w:r>
      <w:r w:rsidRPr="00FF0F94">
        <w:rPr>
          <w:szCs w:val="22"/>
        </w:rPr>
        <w:t>273-79.</w:t>
      </w:r>
    </w:p>
    <w:p w14:paraId="0FBC4E60" w14:textId="77777777" w:rsidR="007D27F3" w:rsidRPr="00FF0F94" w:rsidRDefault="007D27F3" w:rsidP="007D27F3">
      <w:pPr>
        <w:spacing w:line="240" w:lineRule="auto"/>
        <w:rPr>
          <w:szCs w:val="22"/>
        </w:rPr>
      </w:pPr>
    </w:p>
    <w:p w14:paraId="41CDD049" w14:textId="4479E742" w:rsidR="007D27F3" w:rsidRPr="00FF0F94" w:rsidRDefault="007D27F3" w:rsidP="00FF0F94">
      <w:pPr>
        <w:numPr>
          <w:ilvl w:val="0"/>
          <w:numId w:val="30"/>
        </w:numPr>
        <w:spacing w:line="240" w:lineRule="auto"/>
        <w:rPr>
          <w:szCs w:val="22"/>
        </w:rPr>
      </w:pPr>
      <w:r w:rsidRPr="00FF0F94">
        <w:rPr>
          <w:szCs w:val="22"/>
        </w:rPr>
        <w:t xml:space="preserve">Shelden, M., </w:t>
      </w:r>
      <w:r w:rsidRPr="00FF0F94">
        <w:rPr>
          <w:b/>
          <w:szCs w:val="22"/>
        </w:rPr>
        <w:t>Kaiser, B.N.</w:t>
      </w:r>
      <w:r w:rsidRPr="00FF0F94">
        <w:rPr>
          <w:szCs w:val="22"/>
        </w:rPr>
        <w:t xml:space="preserve">, and Tyerman, S.  2007. Identification and characterisation of aquaporins in the grapevine, </w:t>
      </w:r>
      <w:r w:rsidRPr="00FF0F94">
        <w:rPr>
          <w:i/>
          <w:szCs w:val="22"/>
        </w:rPr>
        <w:t>Vitis vinifera</w:t>
      </w:r>
      <w:r w:rsidRPr="00FF0F94">
        <w:rPr>
          <w:szCs w:val="22"/>
        </w:rPr>
        <w:t xml:space="preserve">. </w:t>
      </w:r>
      <w:r w:rsidRPr="00FF0F94">
        <w:rPr>
          <w:b/>
          <w:szCs w:val="22"/>
        </w:rPr>
        <w:t>Photosynthesis Research 91(2-3):</w:t>
      </w:r>
      <w:r w:rsidRPr="00FF0F94">
        <w:rPr>
          <w:szCs w:val="22"/>
        </w:rPr>
        <w:t>301</w:t>
      </w:r>
    </w:p>
    <w:p w14:paraId="0F799BFB" w14:textId="77777777" w:rsidR="007D27F3" w:rsidRPr="00FF0F94" w:rsidRDefault="007D27F3" w:rsidP="007D27F3">
      <w:pPr>
        <w:rPr>
          <w:szCs w:val="22"/>
        </w:rPr>
      </w:pPr>
    </w:p>
    <w:p w14:paraId="4761AAE6" w14:textId="77777777" w:rsidR="007D27F3" w:rsidRPr="00FF0F94" w:rsidRDefault="007D27F3" w:rsidP="00FF0F94">
      <w:pPr>
        <w:numPr>
          <w:ilvl w:val="0"/>
          <w:numId w:val="30"/>
        </w:numPr>
        <w:spacing w:line="240" w:lineRule="auto"/>
        <w:rPr>
          <w:szCs w:val="22"/>
        </w:rPr>
      </w:pPr>
      <w:r w:rsidRPr="00FF0F94">
        <w:rPr>
          <w:szCs w:val="22"/>
        </w:rPr>
        <w:t xml:space="preserve">Ramesh, S., </w:t>
      </w:r>
      <w:r w:rsidRPr="00FF0F94">
        <w:rPr>
          <w:b/>
          <w:szCs w:val="22"/>
        </w:rPr>
        <w:t>Kaiser, B.N.</w:t>
      </w:r>
      <w:r w:rsidRPr="00FF0F94">
        <w:rPr>
          <w:szCs w:val="22"/>
        </w:rPr>
        <w:t xml:space="preserve">, Graham, C., Sedgely, M. (2006). Agrobacterium mediated transformation of </w:t>
      </w:r>
      <w:r w:rsidRPr="00FF0F94">
        <w:rPr>
          <w:i/>
          <w:szCs w:val="22"/>
        </w:rPr>
        <w:t>Prunus dulcis</w:t>
      </w:r>
      <w:r w:rsidRPr="00FF0F94">
        <w:rPr>
          <w:szCs w:val="22"/>
        </w:rPr>
        <w:t xml:space="preserve"> cv. Ne Plus Ultra using positive and negative selection. </w:t>
      </w:r>
      <w:r w:rsidRPr="00FF0F94">
        <w:rPr>
          <w:b/>
          <w:szCs w:val="22"/>
        </w:rPr>
        <w:t>Plant Cell Reports 25:</w:t>
      </w:r>
      <w:r w:rsidRPr="00FF0F94">
        <w:rPr>
          <w:szCs w:val="22"/>
        </w:rPr>
        <w:t xml:space="preserve"> 821-828.</w:t>
      </w:r>
    </w:p>
    <w:p w14:paraId="08E614AC" w14:textId="77777777" w:rsidR="007D27F3" w:rsidRPr="00FF0F94" w:rsidRDefault="007D27F3" w:rsidP="007D27F3">
      <w:pPr>
        <w:rPr>
          <w:szCs w:val="22"/>
        </w:rPr>
      </w:pPr>
    </w:p>
    <w:p w14:paraId="7DB3B929" w14:textId="77777777" w:rsidR="007D27F3" w:rsidRPr="00FF0F94" w:rsidRDefault="007D27F3" w:rsidP="00FF0F94">
      <w:pPr>
        <w:numPr>
          <w:ilvl w:val="0"/>
          <w:numId w:val="30"/>
        </w:numPr>
        <w:spacing w:line="240" w:lineRule="auto"/>
        <w:rPr>
          <w:szCs w:val="22"/>
        </w:rPr>
      </w:pPr>
      <w:r w:rsidRPr="00FF0F94">
        <w:rPr>
          <w:szCs w:val="22"/>
        </w:rPr>
        <w:t xml:space="preserve">Kumar, A., </w:t>
      </w:r>
      <w:r w:rsidRPr="00FF0F94">
        <w:rPr>
          <w:b/>
          <w:szCs w:val="22"/>
        </w:rPr>
        <w:t>Kaiser, B.N.</w:t>
      </w:r>
      <w:r w:rsidRPr="00FF0F94">
        <w:rPr>
          <w:szCs w:val="22"/>
        </w:rPr>
        <w:t xml:space="preserve">, Siddiqi, M.Y., and Glass, A.D.M. (2006). Functional characterisation of OsAMT1;1 over expression lines of rice, </w:t>
      </w:r>
      <w:r w:rsidRPr="00FF0F94">
        <w:rPr>
          <w:i/>
          <w:szCs w:val="22"/>
        </w:rPr>
        <w:t>Oryza sativa</w:t>
      </w:r>
      <w:r w:rsidRPr="00FF0F94">
        <w:rPr>
          <w:szCs w:val="22"/>
        </w:rPr>
        <w:t xml:space="preserve"> (L). </w:t>
      </w:r>
      <w:r w:rsidRPr="00FF0F94">
        <w:rPr>
          <w:b/>
          <w:szCs w:val="22"/>
        </w:rPr>
        <w:t>Functional Plant Biology 33(4):</w:t>
      </w:r>
      <w:r w:rsidRPr="00FF0F94">
        <w:rPr>
          <w:szCs w:val="22"/>
        </w:rPr>
        <w:t xml:space="preserve"> 339–346.</w:t>
      </w:r>
    </w:p>
    <w:p w14:paraId="72D36050" w14:textId="77777777" w:rsidR="007D27F3" w:rsidRPr="00FF0F94" w:rsidRDefault="007D27F3" w:rsidP="007D27F3">
      <w:pPr>
        <w:rPr>
          <w:szCs w:val="22"/>
        </w:rPr>
      </w:pPr>
    </w:p>
    <w:p w14:paraId="3222D82C" w14:textId="77777777" w:rsidR="007D27F3" w:rsidRPr="00FF0F94" w:rsidRDefault="007D27F3" w:rsidP="00FF0F94">
      <w:pPr>
        <w:numPr>
          <w:ilvl w:val="0"/>
          <w:numId w:val="30"/>
        </w:numPr>
        <w:spacing w:line="240" w:lineRule="auto"/>
        <w:rPr>
          <w:szCs w:val="22"/>
        </w:rPr>
      </w:pPr>
      <w:r w:rsidRPr="00FF0F94">
        <w:rPr>
          <w:b/>
          <w:szCs w:val="22"/>
        </w:rPr>
        <w:t>Kaiser, B.N.</w:t>
      </w:r>
      <w:r w:rsidRPr="00FF0F94">
        <w:rPr>
          <w:szCs w:val="22"/>
        </w:rPr>
        <w:t xml:space="preserve">, Gridley, K., Ngaire-Bradey, J., Phillips, T., and Tyerman, S.D. (2005).  The role of molybdenum in agricultural plant production.  </w:t>
      </w:r>
      <w:r w:rsidRPr="00FF0F94">
        <w:rPr>
          <w:b/>
          <w:szCs w:val="22"/>
        </w:rPr>
        <w:t>Annals of Botany 96:</w:t>
      </w:r>
      <w:r w:rsidRPr="00FF0F94">
        <w:rPr>
          <w:szCs w:val="22"/>
        </w:rPr>
        <w:t xml:space="preserve"> 745-754 4.</w:t>
      </w:r>
    </w:p>
    <w:p w14:paraId="7DCBD43E" w14:textId="77777777" w:rsidR="007D27F3" w:rsidRPr="00FF0F94" w:rsidRDefault="007D27F3" w:rsidP="007D27F3">
      <w:pPr>
        <w:rPr>
          <w:szCs w:val="22"/>
        </w:rPr>
      </w:pPr>
    </w:p>
    <w:p w14:paraId="0F9A3A93" w14:textId="77777777" w:rsidR="007D27F3" w:rsidRPr="00FF0F94" w:rsidRDefault="007D27F3" w:rsidP="00FF0F94">
      <w:pPr>
        <w:numPr>
          <w:ilvl w:val="0"/>
          <w:numId w:val="30"/>
        </w:numPr>
        <w:spacing w:line="240" w:lineRule="auto"/>
        <w:rPr>
          <w:szCs w:val="22"/>
        </w:rPr>
      </w:pPr>
      <w:r w:rsidRPr="00FF0F94">
        <w:rPr>
          <w:szCs w:val="22"/>
        </w:rPr>
        <w:t xml:space="preserve">Gregory, D., Sedgley, M., Wirthensohn, M.G., Arús, P., </w:t>
      </w:r>
      <w:r w:rsidRPr="00FF0F94">
        <w:rPr>
          <w:b/>
          <w:szCs w:val="22"/>
        </w:rPr>
        <w:t>Kaiser, B.N.</w:t>
      </w:r>
      <w:r w:rsidRPr="00FF0F94">
        <w:rPr>
          <w:szCs w:val="22"/>
        </w:rPr>
        <w:t xml:space="preserve"> and Collins, G.G. (2005). An integrated genetic linkage map for almond based on RAPD, ISSR, SSR and morphological markers. </w:t>
      </w:r>
      <w:r w:rsidRPr="00FF0F94">
        <w:rPr>
          <w:b/>
          <w:szCs w:val="22"/>
        </w:rPr>
        <w:t>Acta Hort. (ISHS) 694:</w:t>
      </w:r>
      <w:r w:rsidRPr="00FF0F94">
        <w:rPr>
          <w:szCs w:val="22"/>
        </w:rPr>
        <w:t xml:space="preserve"> 67-72</w:t>
      </w:r>
    </w:p>
    <w:p w14:paraId="2AC5CA2F" w14:textId="77777777" w:rsidR="007D27F3" w:rsidRPr="00FF0F94" w:rsidRDefault="007D27F3" w:rsidP="007D27F3">
      <w:pPr>
        <w:rPr>
          <w:szCs w:val="22"/>
        </w:rPr>
      </w:pPr>
    </w:p>
    <w:p w14:paraId="00EA2A12" w14:textId="77777777" w:rsidR="007D27F3" w:rsidRPr="00FF0F94" w:rsidRDefault="007D27F3" w:rsidP="00FF0F94">
      <w:pPr>
        <w:numPr>
          <w:ilvl w:val="0"/>
          <w:numId w:val="30"/>
        </w:numPr>
        <w:spacing w:line="240" w:lineRule="auto"/>
        <w:rPr>
          <w:szCs w:val="22"/>
        </w:rPr>
      </w:pPr>
      <w:r w:rsidRPr="00FF0F94">
        <w:rPr>
          <w:b/>
          <w:szCs w:val="22"/>
        </w:rPr>
        <w:t>Kaiser, B.N.</w:t>
      </w:r>
      <w:r w:rsidRPr="00FF0F94">
        <w:rPr>
          <w:szCs w:val="22"/>
        </w:rPr>
        <w:t xml:space="preserve">, Moreau, S., Castelli, J. Thomson, R.M., Lambert, A., Bogliolo, S., Puppo, A. and Day. D.A. (2003). The soybean NRAMP homologue, GmDMT1, is a symbiotic divalent metal transporter capable of ferrous iron transport. </w:t>
      </w:r>
      <w:r w:rsidRPr="00FF0F94">
        <w:rPr>
          <w:b/>
          <w:szCs w:val="22"/>
        </w:rPr>
        <w:t>The Plant Journal 35:</w:t>
      </w:r>
      <w:r w:rsidRPr="00FF0F94">
        <w:rPr>
          <w:szCs w:val="22"/>
        </w:rPr>
        <w:t xml:space="preserve"> 295-304.</w:t>
      </w:r>
    </w:p>
    <w:p w14:paraId="325CA279" w14:textId="77777777" w:rsidR="007D27F3" w:rsidRPr="00FF0F94" w:rsidRDefault="007D27F3" w:rsidP="007D27F3">
      <w:pPr>
        <w:rPr>
          <w:szCs w:val="22"/>
        </w:rPr>
      </w:pPr>
    </w:p>
    <w:p w14:paraId="26D1BCB3" w14:textId="77777777" w:rsidR="007D27F3" w:rsidRPr="00FF0F94" w:rsidRDefault="007D27F3" w:rsidP="00FF0F94">
      <w:pPr>
        <w:numPr>
          <w:ilvl w:val="0"/>
          <w:numId w:val="30"/>
        </w:numPr>
        <w:spacing w:line="240" w:lineRule="auto"/>
        <w:rPr>
          <w:szCs w:val="22"/>
        </w:rPr>
      </w:pPr>
      <w:r w:rsidRPr="00FF0F94">
        <w:rPr>
          <w:b/>
          <w:szCs w:val="22"/>
        </w:rPr>
        <w:t>Kaiser, B.N.</w:t>
      </w:r>
      <w:r w:rsidRPr="00FF0F94">
        <w:rPr>
          <w:szCs w:val="22"/>
        </w:rPr>
        <w:t>, Rawat, S.R., Siddiqi, M.Y., Masle, J., and Glass A.D.M. (2002) Functional analysis of an Arabidopsis T-DNA “knockout” of the high-affinity NH</w:t>
      </w:r>
      <w:r w:rsidRPr="00FF0F94">
        <w:rPr>
          <w:szCs w:val="22"/>
          <w:vertAlign w:val="subscript"/>
        </w:rPr>
        <w:t>4</w:t>
      </w:r>
      <w:r w:rsidRPr="00FF0F94">
        <w:rPr>
          <w:szCs w:val="22"/>
          <w:vertAlign w:val="superscript"/>
        </w:rPr>
        <w:t>+</w:t>
      </w:r>
      <w:r w:rsidRPr="00FF0F94">
        <w:rPr>
          <w:szCs w:val="22"/>
        </w:rPr>
        <w:t xml:space="preserve"> transporter AtAMT1;1. </w:t>
      </w:r>
      <w:r w:rsidRPr="00FF0F94">
        <w:rPr>
          <w:b/>
          <w:szCs w:val="22"/>
        </w:rPr>
        <w:t>Plant Physiology 130:</w:t>
      </w:r>
      <w:r w:rsidRPr="00FF0F94">
        <w:rPr>
          <w:szCs w:val="22"/>
        </w:rPr>
        <w:t xml:space="preserve"> 1263-1275</w:t>
      </w:r>
    </w:p>
    <w:p w14:paraId="5740DB9B" w14:textId="77777777" w:rsidR="007D27F3" w:rsidRPr="00FF0F94" w:rsidRDefault="007D27F3" w:rsidP="007D27F3">
      <w:pPr>
        <w:rPr>
          <w:szCs w:val="22"/>
        </w:rPr>
      </w:pPr>
    </w:p>
    <w:p w14:paraId="6E35B0D2" w14:textId="77777777" w:rsidR="007D27F3" w:rsidRPr="00FF0F94" w:rsidRDefault="007D27F3" w:rsidP="00FF0F94">
      <w:pPr>
        <w:numPr>
          <w:ilvl w:val="0"/>
          <w:numId w:val="30"/>
        </w:numPr>
        <w:spacing w:line="240" w:lineRule="auto"/>
        <w:rPr>
          <w:szCs w:val="22"/>
        </w:rPr>
      </w:pPr>
      <w:r w:rsidRPr="00FF0F94">
        <w:rPr>
          <w:szCs w:val="22"/>
        </w:rPr>
        <w:t xml:space="preserve">Moreau, S., Thomson, R.M., </w:t>
      </w:r>
      <w:r w:rsidRPr="00FF0F94">
        <w:rPr>
          <w:b/>
          <w:szCs w:val="22"/>
        </w:rPr>
        <w:t>Kaiser, B.N.</w:t>
      </w:r>
      <w:r w:rsidRPr="00FF0F94">
        <w:rPr>
          <w:szCs w:val="22"/>
        </w:rPr>
        <w:t xml:space="preserve">, Trevaskis, B., Guerinot, M.L., Udvardi, M.K., Puppo, A., and Day. D.A. (2002) GmZIP1 encodes a symbiosis specific zinc transporter in soybean. </w:t>
      </w:r>
      <w:r w:rsidRPr="00FF0F94">
        <w:rPr>
          <w:b/>
          <w:szCs w:val="22"/>
        </w:rPr>
        <w:t>Journal of Biological Chemistry 277:</w:t>
      </w:r>
      <w:r w:rsidRPr="00FF0F94">
        <w:rPr>
          <w:szCs w:val="22"/>
        </w:rPr>
        <w:t xml:space="preserve"> 4738-4746.</w:t>
      </w:r>
    </w:p>
    <w:p w14:paraId="46AB1E7B" w14:textId="77777777" w:rsidR="007D27F3" w:rsidRPr="00FF0F94" w:rsidRDefault="007D27F3" w:rsidP="007D27F3">
      <w:pPr>
        <w:spacing w:line="240" w:lineRule="auto"/>
        <w:rPr>
          <w:szCs w:val="22"/>
        </w:rPr>
      </w:pPr>
    </w:p>
    <w:p w14:paraId="591646E8" w14:textId="5A9D12BD" w:rsidR="007D27F3" w:rsidRPr="00FF0F94" w:rsidRDefault="007D27F3" w:rsidP="00FF0F94">
      <w:pPr>
        <w:numPr>
          <w:ilvl w:val="0"/>
          <w:numId w:val="30"/>
        </w:numPr>
        <w:spacing w:line="240" w:lineRule="auto"/>
        <w:rPr>
          <w:szCs w:val="22"/>
        </w:rPr>
      </w:pPr>
      <w:r w:rsidRPr="00FF0F94">
        <w:rPr>
          <w:szCs w:val="22"/>
        </w:rPr>
        <w:t xml:space="preserve">Udvardi, M., Bruxelles, G., Day, D.A., Freund, S., Greil, F., </w:t>
      </w:r>
      <w:r w:rsidRPr="00FF0F94">
        <w:rPr>
          <w:b/>
          <w:szCs w:val="22"/>
        </w:rPr>
        <w:t>Kaiser, B.N.</w:t>
      </w:r>
      <w:r w:rsidRPr="00FF0F94">
        <w:rPr>
          <w:szCs w:val="22"/>
        </w:rPr>
        <w:t>, Laver, D., Panter, S., Simon, U., Thomson, R., and Trevaskis, B. (2002). Molecular Biology of the Peribacteroid Membrane. Nitrogen Fixation: From Molecules to Crop Productivity. Current Plant Science and Biotechnology in Agriculture Volume 38, 2000, pp 365-366.</w:t>
      </w:r>
    </w:p>
    <w:p w14:paraId="1CCD52D7" w14:textId="77777777" w:rsidR="007D27F3" w:rsidRPr="00FF0F94" w:rsidRDefault="007D27F3" w:rsidP="007D27F3">
      <w:pPr>
        <w:rPr>
          <w:szCs w:val="22"/>
        </w:rPr>
      </w:pPr>
    </w:p>
    <w:p w14:paraId="0BEFC0F9" w14:textId="77777777" w:rsidR="007D27F3" w:rsidRPr="00FF0F94" w:rsidRDefault="007D27F3" w:rsidP="00FF0F94">
      <w:pPr>
        <w:numPr>
          <w:ilvl w:val="0"/>
          <w:numId w:val="30"/>
        </w:numPr>
        <w:spacing w:line="240" w:lineRule="auto"/>
        <w:rPr>
          <w:szCs w:val="22"/>
        </w:rPr>
      </w:pPr>
      <w:r w:rsidRPr="00FF0F94">
        <w:rPr>
          <w:szCs w:val="22"/>
        </w:rPr>
        <w:t xml:space="preserve">Glass, A.D.M., Britto, D.T., </w:t>
      </w:r>
      <w:r w:rsidRPr="00FF0F94">
        <w:rPr>
          <w:b/>
          <w:szCs w:val="22"/>
        </w:rPr>
        <w:t>Kaiser, B.N.</w:t>
      </w:r>
      <w:r w:rsidRPr="00FF0F94">
        <w:rPr>
          <w:szCs w:val="22"/>
        </w:rPr>
        <w:t xml:space="preserve">, Kinghorn, J.R., Kronzucker, H.J., Kumar, A., Okamoto, M., Rawat, S., Siddiqi, M.Y., Unkles, S.E., and Vidmar, J. (2002). The regulation of nitrate and ammonium transport systems in plants.  </w:t>
      </w:r>
      <w:r w:rsidRPr="00FF0F94">
        <w:rPr>
          <w:b/>
          <w:szCs w:val="22"/>
        </w:rPr>
        <w:t>Journal of Experimental Botany 53:</w:t>
      </w:r>
      <w:r w:rsidRPr="00FF0F94">
        <w:rPr>
          <w:szCs w:val="22"/>
        </w:rPr>
        <w:t xml:space="preserve"> 1-10</w:t>
      </w:r>
    </w:p>
    <w:p w14:paraId="07CAD326" w14:textId="77777777" w:rsidR="007D27F3" w:rsidRPr="00FF0F94" w:rsidRDefault="007D27F3" w:rsidP="007D27F3">
      <w:pPr>
        <w:rPr>
          <w:szCs w:val="22"/>
        </w:rPr>
      </w:pPr>
    </w:p>
    <w:p w14:paraId="0B12FF3F" w14:textId="77777777" w:rsidR="007D27F3" w:rsidRPr="00FF0F94" w:rsidRDefault="007D27F3" w:rsidP="00FF0F94">
      <w:pPr>
        <w:numPr>
          <w:ilvl w:val="0"/>
          <w:numId w:val="30"/>
        </w:numPr>
        <w:spacing w:line="240" w:lineRule="auto"/>
        <w:rPr>
          <w:szCs w:val="22"/>
        </w:rPr>
      </w:pPr>
      <w:r w:rsidRPr="00FF0F94">
        <w:rPr>
          <w:szCs w:val="22"/>
        </w:rPr>
        <w:t xml:space="preserve">Day, D.A., </w:t>
      </w:r>
      <w:r w:rsidRPr="00FF0F94">
        <w:rPr>
          <w:b/>
          <w:szCs w:val="22"/>
        </w:rPr>
        <w:t>Kaiser, B.N.</w:t>
      </w:r>
      <w:r w:rsidRPr="00FF0F94">
        <w:rPr>
          <w:szCs w:val="22"/>
        </w:rPr>
        <w:t xml:space="preserve">, Thomson, R., Udvardi, M.K., Moreau, S. and Puppo, A. (2001). Nutrient transport across symbiotic membranes from legume nodules. </w:t>
      </w:r>
      <w:r w:rsidRPr="00FF0F94">
        <w:rPr>
          <w:b/>
          <w:szCs w:val="22"/>
        </w:rPr>
        <w:t>Australian Journal of Plant Physiology 28:</w:t>
      </w:r>
      <w:r w:rsidRPr="00FF0F94">
        <w:rPr>
          <w:szCs w:val="22"/>
        </w:rPr>
        <w:t xml:space="preserve"> 667-674</w:t>
      </w:r>
    </w:p>
    <w:p w14:paraId="72D6CE54" w14:textId="77777777" w:rsidR="007D27F3" w:rsidRPr="00FF0F94" w:rsidRDefault="007D27F3" w:rsidP="007D27F3">
      <w:pPr>
        <w:rPr>
          <w:szCs w:val="22"/>
        </w:rPr>
      </w:pPr>
    </w:p>
    <w:p w14:paraId="35B6606E" w14:textId="77777777" w:rsidR="007D27F3" w:rsidRPr="00FF0F94" w:rsidRDefault="007D27F3" w:rsidP="00FF0F94">
      <w:pPr>
        <w:numPr>
          <w:ilvl w:val="0"/>
          <w:numId w:val="30"/>
        </w:numPr>
        <w:spacing w:line="240" w:lineRule="auto"/>
        <w:rPr>
          <w:szCs w:val="22"/>
        </w:rPr>
      </w:pPr>
      <w:r w:rsidRPr="00FF0F94">
        <w:rPr>
          <w:szCs w:val="22"/>
        </w:rPr>
        <w:t xml:space="preserve">Glass, A.D.M., Brito, D.T., </w:t>
      </w:r>
      <w:r w:rsidRPr="00FF0F94">
        <w:rPr>
          <w:b/>
          <w:szCs w:val="22"/>
        </w:rPr>
        <w:t>Kaiser, B.N.</w:t>
      </w:r>
      <w:r w:rsidRPr="00FF0F94">
        <w:rPr>
          <w:szCs w:val="22"/>
        </w:rPr>
        <w:t xml:space="preserve">, Kronzucker, H.J., Kumar, A., Okamato, M., Rawat, S.R., Siddiqi, Y., Salim, S.M., Vidmar, J., and Zhuo, D. (2001). Nitrogen transport in plants, with an emphasis on the regulation of fluxes to match plant demand. </w:t>
      </w:r>
      <w:r w:rsidRPr="00FF0F94">
        <w:rPr>
          <w:b/>
          <w:szCs w:val="22"/>
        </w:rPr>
        <w:t xml:space="preserve">J. Plant Nutr. Soil Sci 164: </w:t>
      </w:r>
      <w:r w:rsidRPr="00FF0F94">
        <w:rPr>
          <w:szCs w:val="22"/>
        </w:rPr>
        <w:t>199-207</w:t>
      </w:r>
    </w:p>
    <w:p w14:paraId="309E35CD" w14:textId="77777777" w:rsidR="007D27F3" w:rsidRPr="00FF0F94" w:rsidRDefault="007D27F3" w:rsidP="007D27F3">
      <w:pPr>
        <w:rPr>
          <w:szCs w:val="22"/>
        </w:rPr>
      </w:pPr>
    </w:p>
    <w:p w14:paraId="4758DB8E" w14:textId="0CDEA020" w:rsidR="007D27F3" w:rsidRPr="00FF0F94" w:rsidRDefault="007D27F3" w:rsidP="00FF0F94">
      <w:pPr>
        <w:numPr>
          <w:ilvl w:val="0"/>
          <w:numId w:val="30"/>
        </w:numPr>
        <w:spacing w:line="240" w:lineRule="auto"/>
        <w:rPr>
          <w:szCs w:val="22"/>
        </w:rPr>
      </w:pPr>
      <w:r w:rsidRPr="00FF0F94">
        <w:rPr>
          <w:rFonts w:cs="Helvetica"/>
          <w:b/>
          <w:bCs/>
          <w:color w:val="auto"/>
          <w:szCs w:val="22"/>
        </w:rPr>
        <w:t>Kaiser BN</w:t>
      </w:r>
      <w:r w:rsidRPr="00FF0F94">
        <w:rPr>
          <w:rFonts w:cs="Helvetica"/>
          <w:color w:val="auto"/>
          <w:szCs w:val="22"/>
        </w:rPr>
        <w:t xml:space="preserve"> (1999) Ammonium Transport Across Symbiotic Membranes of Soybean Nodules. Australian National University</w:t>
      </w:r>
    </w:p>
    <w:p w14:paraId="36EBBDD7" w14:textId="77777777" w:rsidR="007D27F3" w:rsidRPr="00FF0F94" w:rsidRDefault="007D27F3" w:rsidP="007D27F3">
      <w:pPr>
        <w:spacing w:line="240" w:lineRule="auto"/>
        <w:rPr>
          <w:szCs w:val="22"/>
        </w:rPr>
      </w:pPr>
    </w:p>
    <w:p w14:paraId="4082CB25" w14:textId="77777777" w:rsidR="007D27F3" w:rsidRPr="00FF0F94" w:rsidRDefault="007D27F3" w:rsidP="00FF0F94">
      <w:pPr>
        <w:numPr>
          <w:ilvl w:val="0"/>
          <w:numId w:val="30"/>
        </w:numPr>
        <w:spacing w:line="240" w:lineRule="auto"/>
        <w:rPr>
          <w:szCs w:val="22"/>
        </w:rPr>
      </w:pPr>
      <w:r w:rsidRPr="00FF0F94">
        <w:rPr>
          <w:szCs w:val="22"/>
        </w:rPr>
        <w:t xml:space="preserve">Day, D.A., Whitehead, L.F., </w:t>
      </w:r>
      <w:r w:rsidRPr="00FF0F94">
        <w:rPr>
          <w:b/>
          <w:szCs w:val="22"/>
        </w:rPr>
        <w:t>Kaiser, B.N.</w:t>
      </w:r>
      <w:r w:rsidRPr="00FF0F94">
        <w:rPr>
          <w:szCs w:val="22"/>
        </w:rPr>
        <w:t xml:space="preserve">, Udvardi, M.K., Mouritzen, P., Rosendahl., L. (1998). Ammonium transport from the bacteroid to the plant. </w:t>
      </w:r>
      <w:r w:rsidRPr="00FF0F94">
        <w:rPr>
          <w:b/>
          <w:szCs w:val="22"/>
        </w:rPr>
        <w:t>Current Plant Science And Biotechnology In Agriculture 31:</w:t>
      </w:r>
      <w:r w:rsidRPr="00FF0F94">
        <w:rPr>
          <w:szCs w:val="22"/>
        </w:rPr>
        <w:t xml:space="preserve"> 449-452</w:t>
      </w:r>
    </w:p>
    <w:p w14:paraId="74B823D4" w14:textId="77777777" w:rsidR="007D27F3" w:rsidRPr="00FF0F94" w:rsidRDefault="007D27F3" w:rsidP="007D27F3">
      <w:pPr>
        <w:rPr>
          <w:szCs w:val="22"/>
        </w:rPr>
      </w:pPr>
    </w:p>
    <w:p w14:paraId="5743709A" w14:textId="77777777" w:rsidR="007D27F3" w:rsidRPr="00FF0F94" w:rsidRDefault="007D27F3" w:rsidP="00FF0F94">
      <w:pPr>
        <w:numPr>
          <w:ilvl w:val="0"/>
          <w:numId w:val="30"/>
        </w:numPr>
        <w:spacing w:line="240" w:lineRule="auto"/>
        <w:rPr>
          <w:szCs w:val="22"/>
        </w:rPr>
      </w:pPr>
      <w:r w:rsidRPr="00FF0F94">
        <w:rPr>
          <w:b/>
          <w:szCs w:val="22"/>
        </w:rPr>
        <w:t>Kaiser, B.N.</w:t>
      </w:r>
      <w:r w:rsidRPr="00FF0F94">
        <w:rPr>
          <w:szCs w:val="22"/>
        </w:rPr>
        <w:t xml:space="preserve">, Finnegan, P.M., Tyerman, S.D., Whitehead, L.F., Bergersen, F.J., Day, D.A. and Udvardi, M.K. (1998). Characterisation of an ammonium transport protein from the peribacteroid membrane of soybean nodules. </w:t>
      </w:r>
      <w:r w:rsidRPr="00FF0F94">
        <w:rPr>
          <w:b/>
          <w:szCs w:val="22"/>
        </w:rPr>
        <w:t>Science 281:</w:t>
      </w:r>
      <w:r w:rsidRPr="00FF0F94">
        <w:rPr>
          <w:szCs w:val="22"/>
        </w:rPr>
        <w:t>1202-1206</w:t>
      </w:r>
    </w:p>
    <w:p w14:paraId="5143B60F" w14:textId="77777777" w:rsidR="007D27F3" w:rsidRPr="00FF0F94" w:rsidRDefault="007D27F3" w:rsidP="007D27F3">
      <w:pPr>
        <w:rPr>
          <w:szCs w:val="22"/>
        </w:rPr>
      </w:pPr>
    </w:p>
    <w:p w14:paraId="2DAC4FCB" w14:textId="77777777" w:rsidR="007D27F3" w:rsidRPr="00FF0F94" w:rsidRDefault="007D27F3" w:rsidP="00FF0F94">
      <w:pPr>
        <w:numPr>
          <w:ilvl w:val="0"/>
          <w:numId w:val="30"/>
        </w:numPr>
        <w:spacing w:line="240" w:lineRule="auto"/>
        <w:rPr>
          <w:szCs w:val="22"/>
        </w:rPr>
      </w:pPr>
      <w:r w:rsidRPr="00FF0F94">
        <w:rPr>
          <w:szCs w:val="22"/>
        </w:rPr>
        <w:t xml:space="preserve">Shelp, B.J., </w:t>
      </w:r>
      <w:r w:rsidRPr="00FF0F94">
        <w:rPr>
          <w:b/>
          <w:szCs w:val="22"/>
        </w:rPr>
        <w:t>Kaiser, B.N.</w:t>
      </w:r>
      <w:r w:rsidRPr="00FF0F94">
        <w:rPr>
          <w:szCs w:val="22"/>
        </w:rPr>
        <w:t xml:space="preserve"> and Deschene, A.M. (1998). Registration of five near-isogenic Juneau pea lines with altered nodulation and nitrate reductase deficiency. </w:t>
      </w:r>
      <w:r w:rsidRPr="00FF0F94">
        <w:rPr>
          <w:b/>
          <w:szCs w:val="22"/>
        </w:rPr>
        <w:t>Crop Science 38(2):</w:t>
      </w:r>
      <w:r w:rsidRPr="00FF0F94">
        <w:rPr>
          <w:szCs w:val="22"/>
        </w:rPr>
        <w:t xml:space="preserve"> 554</w:t>
      </w:r>
    </w:p>
    <w:p w14:paraId="467DD944" w14:textId="77777777" w:rsidR="007D27F3" w:rsidRPr="00FF0F94" w:rsidRDefault="007D27F3" w:rsidP="007D27F3">
      <w:pPr>
        <w:rPr>
          <w:szCs w:val="22"/>
        </w:rPr>
      </w:pPr>
    </w:p>
    <w:p w14:paraId="6504DA38" w14:textId="77777777" w:rsidR="007D27F3" w:rsidRPr="00FF0F94" w:rsidRDefault="007D27F3" w:rsidP="00FF0F94">
      <w:pPr>
        <w:numPr>
          <w:ilvl w:val="0"/>
          <w:numId w:val="30"/>
        </w:numPr>
        <w:spacing w:line="240" w:lineRule="auto"/>
        <w:rPr>
          <w:szCs w:val="22"/>
        </w:rPr>
      </w:pPr>
      <w:r w:rsidRPr="00FF0F94">
        <w:rPr>
          <w:szCs w:val="22"/>
        </w:rPr>
        <w:t xml:space="preserve">Campbell, H., DePauw, R.M., Deschesne, A.M., Eizenga, G.C., Faris, D.G., Fernandez, M.R., </w:t>
      </w:r>
      <w:r w:rsidRPr="00FF0F94">
        <w:rPr>
          <w:b/>
          <w:szCs w:val="22"/>
        </w:rPr>
        <w:t>Kaiser, B.N.</w:t>
      </w:r>
      <w:r w:rsidRPr="00FF0F94">
        <w:rPr>
          <w:szCs w:val="22"/>
        </w:rPr>
        <w:t xml:space="preserve">, Knox, R.E., Kumar, R.V., Pedersen, J.F., Phillips, T.D., Rai, K., Rao, A.S., Reddy, L.J., Saxena, K.B., Shelp, B.J., Singh, L., Thomas, L.B., Townley-Smith, T.F., Toy, J.J. (1998). Genetic stocks: 13 fescue; 1 legumes, other (pigeonpea); 1 millet, pearl; 5 pea; 2 sundangrass; 4 wheat. </w:t>
      </w:r>
      <w:r w:rsidRPr="00FF0F94">
        <w:rPr>
          <w:b/>
          <w:szCs w:val="22"/>
        </w:rPr>
        <w:t>Crop Science 38 (2):</w:t>
      </w:r>
      <w:r w:rsidRPr="00FF0F94">
        <w:rPr>
          <w:szCs w:val="22"/>
        </w:rPr>
        <w:t xml:space="preserve"> 554-557.</w:t>
      </w:r>
    </w:p>
    <w:p w14:paraId="0634925B" w14:textId="77777777" w:rsidR="007D27F3" w:rsidRPr="00FF0F94" w:rsidRDefault="007D27F3" w:rsidP="007D27F3">
      <w:pPr>
        <w:rPr>
          <w:szCs w:val="22"/>
        </w:rPr>
      </w:pPr>
    </w:p>
    <w:p w14:paraId="29DF51C6" w14:textId="77777777" w:rsidR="007D27F3" w:rsidRPr="00FF0F94" w:rsidRDefault="007D27F3" w:rsidP="00FF0F94">
      <w:pPr>
        <w:numPr>
          <w:ilvl w:val="0"/>
          <w:numId w:val="30"/>
        </w:numPr>
        <w:spacing w:line="240" w:lineRule="auto"/>
        <w:rPr>
          <w:szCs w:val="22"/>
        </w:rPr>
      </w:pPr>
      <w:r w:rsidRPr="00FF0F94">
        <w:rPr>
          <w:szCs w:val="22"/>
        </w:rPr>
        <w:t xml:space="preserve">Day, D.A., Whitehead, L.F., </w:t>
      </w:r>
      <w:r w:rsidRPr="00FF0F94">
        <w:rPr>
          <w:b/>
          <w:szCs w:val="22"/>
        </w:rPr>
        <w:t>Kaiser, B.N.</w:t>
      </w:r>
      <w:r w:rsidRPr="00FF0F94">
        <w:rPr>
          <w:szCs w:val="22"/>
        </w:rPr>
        <w:t xml:space="preserve">, Udvardi, M.K., Mouritzen, P., Rosendahl, L. (1998). </w:t>
      </w:r>
      <w:r w:rsidRPr="00FF0F94">
        <w:rPr>
          <w:b/>
          <w:szCs w:val="22"/>
        </w:rPr>
        <w:t xml:space="preserve">Current Plant Science and Biotechnology in Agriculture 31: </w:t>
      </w:r>
      <w:r w:rsidRPr="00FF0F94">
        <w:rPr>
          <w:szCs w:val="22"/>
        </w:rPr>
        <w:t>449-452.</w:t>
      </w:r>
    </w:p>
    <w:p w14:paraId="7750F2EA" w14:textId="77777777" w:rsidR="007D27F3" w:rsidRPr="00FF0F94" w:rsidRDefault="007D27F3" w:rsidP="007D27F3">
      <w:pPr>
        <w:rPr>
          <w:szCs w:val="22"/>
        </w:rPr>
      </w:pPr>
    </w:p>
    <w:p w14:paraId="778400FA" w14:textId="77777777" w:rsidR="007D27F3" w:rsidRPr="00FF0F94" w:rsidRDefault="007D27F3" w:rsidP="00FF0F94">
      <w:pPr>
        <w:numPr>
          <w:ilvl w:val="0"/>
          <w:numId w:val="30"/>
        </w:numPr>
        <w:spacing w:line="240" w:lineRule="auto"/>
        <w:rPr>
          <w:szCs w:val="22"/>
        </w:rPr>
      </w:pPr>
      <w:r w:rsidRPr="00FF0F94">
        <w:rPr>
          <w:b/>
          <w:szCs w:val="22"/>
        </w:rPr>
        <w:t>Kaiser, B.N.</w:t>
      </w:r>
      <w:r w:rsidRPr="00FF0F94">
        <w:rPr>
          <w:szCs w:val="22"/>
        </w:rPr>
        <w:t xml:space="preserve">, Layzell, D.B. and Shelp, B.J. (1997). Role of oxygen limitation and nitrate metabolism in the nitrate inhibition of nitrogen fixation by pea, </w:t>
      </w:r>
      <w:r w:rsidRPr="00FF0F94">
        <w:rPr>
          <w:b/>
          <w:szCs w:val="22"/>
        </w:rPr>
        <w:t>Physiologia Plantarum</w:t>
      </w:r>
      <w:r w:rsidRPr="00FF0F94">
        <w:rPr>
          <w:szCs w:val="22"/>
        </w:rPr>
        <w:t xml:space="preserve"> </w:t>
      </w:r>
      <w:r w:rsidRPr="00FF0F94">
        <w:rPr>
          <w:b/>
          <w:szCs w:val="22"/>
        </w:rPr>
        <w:t>101:</w:t>
      </w:r>
      <w:r w:rsidRPr="00FF0F94">
        <w:rPr>
          <w:szCs w:val="22"/>
        </w:rPr>
        <w:t xml:space="preserve"> 45-50 </w:t>
      </w:r>
    </w:p>
    <w:p w14:paraId="1E266E55" w14:textId="77777777" w:rsidR="007D27F3" w:rsidRPr="00FF0F94" w:rsidRDefault="007D27F3" w:rsidP="007D27F3">
      <w:pPr>
        <w:rPr>
          <w:szCs w:val="22"/>
        </w:rPr>
      </w:pPr>
    </w:p>
    <w:p w14:paraId="436381EE" w14:textId="77777777" w:rsidR="007D27F3" w:rsidRPr="00FF0F94" w:rsidRDefault="007D27F3" w:rsidP="00FF0F94">
      <w:pPr>
        <w:numPr>
          <w:ilvl w:val="0"/>
          <w:numId w:val="30"/>
        </w:numPr>
        <w:spacing w:line="240" w:lineRule="auto"/>
        <w:rPr>
          <w:szCs w:val="22"/>
        </w:rPr>
      </w:pPr>
      <w:r w:rsidRPr="00FF0F94">
        <w:rPr>
          <w:b/>
          <w:bCs/>
          <w:szCs w:val="22"/>
        </w:rPr>
        <w:t>Kaiser B.N.</w:t>
      </w:r>
      <w:r w:rsidRPr="00FF0F94">
        <w:rPr>
          <w:bCs/>
          <w:szCs w:val="22"/>
        </w:rPr>
        <w:t>, Day DA, Finnegan PM, Tyerman SD, Whitehead LF, Udardi MK</w:t>
      </w:r>
      <w:r w:rsidRPr="00FF0F94">
        <w:rPr>
          <w:szCs w:val="22"/>
        </w:rPr>
        <w:t xml:space="preserve"> (1997) Identification of a novel NH</w:t>
      </w:r>
      <w:r w:rsidRPr="00FF0F94">
        <w:rPr>
          <w:szCs w:val="22"/>
          <w:vertAlign w:val="subscript"/>
        </w:rPr>
        <w:t>4</w:t>
      </w:r>
      <w:r w:rsidRPr="00FF0F94">
        <w:rPr>
          <w:szCs w:val="22"/>
          <w:vertAlign w:val="superscript"/>
        </w:rPr>
        <w:t>+</w:t>
      </w:r>
      <w:r w:rsidRPr="00FF0F94">
        <w:rPr>
          <w:szCs w:val="22"/>
        </w:rPr>
        <w:t xml:space="preserve"> transporter from soybean root nodules. </w:t>
      </w:r>
      <w:r w:rsidRPr="00FF0F94">
        <w:rPr>
          <w:b/>
          <w:szCs w:val="22"/>
        </w:rPr>
        <w:t xml:space="preserve">Plant Physiology </w:t>
      </w:r>
      <w:r w:rsidRPr="00FF0F94">
        <w:rPr>
          <w:b/>
          <w:bCs/>
          <w:szCs w:val="22"/>
        </w:rPr>
        <w:t>114</w:t>
      </w:r>
      <w:r w:rsidRPr="00FF0F94">
        <w:rPr>
          <w:bCs/>
          <w:szCs w:val="22"/>
        </w:rPr>
        <w:t>:</w:t>
      </w:r>
      <w:r w:rsidRPr="00FF0F94">
        <w:rPr>
          <w:szCs w:val="22"/>
        </w:rPr>
        <w:t xml:space="preserve"> 41</w:t>
      </w:r>
    </w:p>
    <w:p w14:paraId="033613CC" w14:textId="77777777" w:rsidR="007D27F3" w:rsidRPr="00FF0F94" w:rsidRDefault="007D27F3" w:rsidP="007D27F3">
      <w:pPr>
        <w:spacing w:line="240" w:lineRule="auto"/>
        <w:rPr>
          <w:szCs w:val="22"/>
        </w:rPr>
      </w:pPr>
    </w:p>
    <w:p w14:paraId="234AAF5C" w14:textId="31A02881" w:rsidR="007D27F3" w:rsidRPr="00FF0F94" w:rsidRDefault="007D27F3" w:rsidP="00FF0F94">
      <w:pPr>
        <w:numPr>
          <w:ilvl w:val="0"/>
          <w:numId w:val="30"/>
        </w:numPr>
        <w:spacing w:line="240" w:lineRule="auto"/>
        <w:rPr>
          <w:szCs w:val="22"/>
        </w:rPr>
      </w:pPr>
      <w:r w:rsidRPr="00FF0F94">
        <w:rPr>
          <w:b/>
          <w:bCs/>
          <w:szCs w:val="22"/>
        </w:rPr>
        <w:t>Science UoGDoH, Kaiser BN</w:t>
      </w:r>
      <w:r w:rsidRPr="00FF0F94">
        <w:rPr>
          <w:szCs w:val="22"/>
        </w:rPr>
        <w:t xml:space="preserve"> (1994) The Impact of Nitrate on Nitrogen Fixation and Nitrate Assimilation in a Near-isogenic Nitrate Reductase-deficient Pea Mutant. (Thesis)</w:t>
      </w:r>
    </w:p>
    <w:p w14:paraId="56E4D19F" w14:textId="77777777" w:rsidR="007D27F3" w:rsidRPr="00FF0F94" w:rsidRDefault="007D27F3" w:rsidP="007D27F3">
      <w:pPr>
        <w:rPr>
          <w:szCs w:val="22"/>
        </w:rPr>
      </w:pPr>
    </w:p>
    <w:p w14:paraId="4B8E5116" w14:textId="77777777" w:rsidR="007D27F3" w:rsidRPr="00FF0F94" w:rsidRDefault="007D27F3" w:rsidP="00FF0F94">
      <w:pPr>
        <w:numPr>
          <w:ilvl w:val="0"/>
          <w:numId w:val="30"/>
        </w:numPr>
        <w:spacing w:line="240" w:lineRule="auto"/>
        <w:rPr>
          <w:szCs w:val="22"/>
        </w:rPr>
      </w:pPr>
      <w:r w:rsidRPr="00FF0F94">
        <w:rPr>
          <w:b/>
          <w:szCs w:val="22"/>
        </w:rPr>
        <w:t>Kaiser, B.N.</w:t>
      </w:r>
      <w:r w:rsidRPr="00FF0F94">
        <w:rPr>
          <w:szCs w:val="22"/>
        </w:rPr>
        <w:t>, Thumfort, P., Layzell, D.B. and Shelp, B.J.  (1994) Oxygen limitation of N</w:t>
      </w:r>
      <w:r w:rsidRPr="00FF0F94">
        <w:rPr>
          <w:szCs w:val="22"/>
          <w:vertAlign w:val="subscript"/>
        </w:rPr>
        <w:t>2</w:t>
      </w:r>
      <w:r w:rsidRPr="00FF0F94">
        <w:rPr>
          <w:szCs w:val="22"/>
        </w:rPr>
        <w:t xml:space="preserve"> fixation in various legume symbioses, </w:t>
      </w:r>
      <w:r w:rsidRPr="00FF0F94">
        <w:rPr>
          <w:b/>
          <w:szCs w:val="22"/>
        </w:rPr>
        <w:t>Can. J. Plant. Sci 74:</w:t>
      </w:r>
      <w:r w:rsidRPr="00FF0F94">
        <w:rPr>
          <w:szCs w:val="22"/>
        </w:rPr>
        <w:t xml:space="preserve"> 853-855 </w:t>
      </w:r>
    </w:p>
    <w:p w14:paraId="2DC99DFF" w14:textId="77777777" w:rsidR="007D27F3" w:rsidRPr="00FF0F94" w:rsidRDefault="007D27F3" w:rsidP="007D27F3">
      <w:pPr>
        <w:rPr>
          <w:b/>
          <w:szCs w:val="22"/>
        </w:rPr>
      </w:pPr>
    </w:p>
    <w:p w14:paraId="41EE5B96" w14:textId="77777777" w:rsidR="00FF0F94" w:rsidRPr="00FF0F94" w:rsidRDefault="00FF0F94" w:rsidP="00FF0F94">
      <w:pPr>
        <w:numPr>
          <w:ilvl w:val="0"/>
          <w:numId w:val="30"/>
        </w:numPr>
        <w:spacing w:line="240" w:lineRule="auto"/>
        <w:rPr>
          <w:szCs w:val="22"/>
        </w:rPr>
      </w:pPr>
      <w:r w:rsidRPr="00FF0F94">
        <w:rPr>
          <w:szCs w:val="22"/>
        </w:rPr>
        <w:t xml:space="preserve">Patent 2008904951 (2008) – Cation channel activity.  Carter S., </w:t>
      </w:r>
      <w:r w:rsidRPr="00FF0F94">
        <w:rPr>
          <w:b/>
          <w:szCs w:val="22"/>
        </w:rPr>
        <w:t>Kaiser B.N.</w:t>
      </w:r>
      <w:r w:rsidRPr="00FF0F94">
        <w:rPr>
          <w:szCs w:val="22"/>
        </w:rPr>
        <w:t>, Okamoto, M, Plett, D, Tester M.A., Tyerman S.D.</w:t>
      </w:r>
    </w:p>
    <w:p w14:paraId="6E14DD35" w14:textId="77777777" w:rsidR="00FF0F94" w:rsidRDefault="00FF0F94" w:rsidP="007D27F3">
      <w:pPr>
        <w:rPr>
          <w:b/>
          <w:bCs/>
          <w:szCs w:val="22"/>
        </w:rPr>
      </w:pPr>
    </w:p>
    <w:p w14:paraId="2ABF13C8" w14:textId="77777777" w:rsidR="007D27F3" w:rsidRPr="00FF0F94" w:rsidRDefault="007D27F3" w:rsidP="007D27F3">
      <w:pPr>
        <w:rPr>
          <w:b/>
          <w:bCs/>
          <w:szCs w:val="22"/>
        </w:rPr>
      </w:pPr>
      <w:r w:rsidRPr="00FF0F94">
        <w:rPr>
          <w:b/>
          <w:bCs/>
          <w:szCs w:val="22"/>
        </w:rPr>
        <w:t>Refereed conference papers</w:t>
      </w:r>
    </w:p>
    <w:p w14:paraId="7F66B8D1" w14:textId="77777777" w:rsidR="007D27F3" w:rsidRPr="00FF0F94" w:rsidRDefault="007D27F3" w:rsidP="00FF0F94">
      <w:pPr>
        <w:numPr>
          <w:ilvl w:val="0"/>
          <w:numId w:val="30"/>
        </w:numPr>
        <w:spacing w:line="240" w:lineRule="auto"/>
        <w:rPr>
          <w:szCs w:val="22"/>
        </w:rPr>
      </w:pPr>
      <w:r w:rsidRPr="00FF0F94">
        <w:rPr>
          <w:szCs w:val="22"/>
        </w:rPr>
        <w:t>Conn, S, Gilliham, M., Tyerman, S., K</w:t>
      </w:r>
      <w:r w:rsidRPr="00FF0F94">
        <w:rPr>
          <w:b/>
          <w:szCs w:val="22"/>
        </w:rPr>
        <w:t>aiser, B.N.</w:t>
      </w:r>
      <w:r w:rsidRPr="00FF0F94">
        <w:rPr>
          <w:szCs w:val="22"/>
        </w:rPr>
        <w:t>, Leigh, R. 2009. Calcium compartmentation in arabidopsis mesophyll cells, a mechanism to regulate apoplastic calcium, photosynthetic rates and growth, involves low-affinity, high-capacity Ca</w:t>
      </w:r>
      <w:r w:rsidRPr="00AD1E08">
        <w:rPr>
          <w:szCs w:val="22"/>
          <w:vertAlign w:val="superscript"/>
        </w:rPr>
        <w:t>2+</w:t>
      </w:r>
      <w:r w:rsidRPr="00FF0F94">
        <w:rPr>
          <w:szCs w:val="22"/>
        </w:rPr>
        <w:t>/H</w:t>
      </w:r>
      <w:r w:rsidRPr="00AD1E08">
        <w:rPr>
          <w:szCs w:val="22"/>
          <w:vertAlign w:val="superscript"/>
        </w:rPr>
        <w:t>+</w:t>
      </w:r>
      <w:r w:rsidRPr="00FF0F94">
        <w:rPr>
          <w:szCs w:val="22"/>
        </w:rPr>
        <w:t xml:space="preserve"> antiporters. Proceedings of the International Plant Nutrition Colloquium XVI</w:t>
      </w:r>
    </w:p>
    <w:p w14:paraId="22CD2FF9" w14:textId="77777777" w:rsidR="007D27F3" w:rsidRPr="00FF0F94" w:rsidRDefault="007D27F3" w:rsidP="007D27F3">
      <w:pPr>
        <w:rPr>
          <w:szCs w:val="22"/>
        </w:rPr>
      </w:pPr>
    </w:p>
    <w:p w14:paraId="34B63BA6" w14:textId="77777777" w:rsidR="007D27F3" w:rsidRPr="00FF0F94" w:rsidRDefault="007D27F3" w:rsidP="00FF0F94">
      <w:pPr>
        <w:numPr>
          <w:ilvl w:val="0"/>
          <w:numId w:val="30"/>
        </w:numPr>
        <w:spacing w:line="240" w:lineRule="auto"/>
        <w:rPr>
          <w:szCs w:val="22"/>
        </w:rPr>
      </w:pPr>
      <w:r w:rsidRPr="00FF0F94">
        <w:rPr>
          <w:b/>
          <w:szCs w:val="22"/>
        </w:rPr>
        <w:t>Kaiser, B.N.</w:t>
      </w:r>
      <w:r w:rsidRPr="00FF0F94">
        <w:rPr>
          <w:szCs w:val="22"/>
        </w:rPr>
        <w:t>, Loughlin, P.C., Chiasson, D.M., Day, D.A., Fedorova, E., McLean, E., Mazurkiewicz, D., Mohammadidehcheshmeh, M., Glass, A.D.M. and Tyerman, S.D. 2009. SAT1 is a symbiosome membrane BHLH transcription factor involved in soybean nodule development and nitrogen fixation. In Proceedings of the 15th Australian Nitrogen Fixation Conference, M. Dilworth and L. Brau (eds), Margaret River, Western Australia pp31.</w:t>
      </w:r>
    </w:p>
    <w:p w14:paraId="4E1B2120" w14:textId="77777777" w:rsidR="007D27F3" w:rsidRPr="00FF0F94" w:rsidRDefault="007D27F3" w:rsidP="007D27F3">
      <w:pPr>
        <w:rPr>
          <w:szCs w:val="22"/>
        </w:rPr>
      </w:pPr>
    </w:p>
    <w:p w14:paraId="01D2AFF5" w14:textId="77777777" w:rsidR="007D27F3" w:rsidRPr="00FF0F94" w:rsidRDefault="007D27F3" w:rsidP="00FF0F94">
      <w:pPr>
        <w:numPr>
          <w:ilvl w:val="0"/>
          <w:numId w:val="30"/>
        </w:numPr>
        <w:spacing w:line="240" w:lineRule="auto"/>
        <w:rPr>
          <w:szCs w:val="22"/>
        </w:rPr>
      </w:pPr>
      <w:r w:rsidRPr="00FF0F94">
        <w:rPr>
          <w:szCs w:val="22"/>
        </w:rPr>
        <w:t xml:space="preserve">Chiasson, D.M., and </w:t>
      </w:r>
      <w:r w:rsidRPr="00FF0F94">
        <w:rPr>
          <w:b/>
          <w:szCs w:val="22"/>
        </w:rPr>
        <w:t>Kaiser, B.N.</w:t>
      </w:r>
      <w:r w:rsidRPr="00FF0F94">
        <w:rPr>
          <w:szCs w:val="22"/>
        </w:rPr>
        <w:t xml:space="preserve"> 2009. The role of MtSAT1 and MtSAT2, two BHLH transcription factors, during nodulation in </w:t>
      </w:r>
      <w:r w:rsidRPr="00FF0F94">
        <w:rPr>
          <w:i/>
          <w:szCs w:val="22"/>
        </w:rPr>
        <w:t>Medicago truncatula</w:t>
      </w:r>
      <w:r w:rsidRPr="00FF0F94">
        <w:rPr>
          <w:szCs w:val="22"/>
        </w:rPr>
        <w:t>. In Proceedings of the 15th Australian Nitrogen Fixation Conference, M. Dilworth and L. Brau (eds), Margaret River, Western Australia pp 32.</w:t>
      </w:r>
    </w:p>
    <w:p w14:paraId="0AB4E9A1" w14:textId="77777777" w:rsidR="007D27F3" w:rsidRPr="00FF0F94" w:rsidRDefault="007D27F3" w:rsidP="007D27F3">
      <w:pPr>
        <w:rPr>
          <w:szCs w:val="22"/>
        </w:rPr>
      </w:pPr>
    </w:p>
    <w:p w14:paraId="59736BA1" w14:textId="77777777" w:rsidR="007D27F3" w:rsidRPr="00FF0F94" w:rsidRDefault="007D27F3" w:rsidP="00FF0F94">
      <w:pPr>
        <w:numPr>
          <w:ilvl w:val="0"/>
          <w:numId w:val="30"/>
        </w:numPr>
        <w:spacing w:line="240" w:lineRule="auto"/>
        <w:rPr>
          <w:szCs w:val="22"/>
        </w:rPr>
      </w:pPr>
      <w:r w:rsidRPr="00FF0F94">
        <w:rPr>
          <w:szCs w:val="22"/>
        </w:rPr>
        <w:t xml:space="preserve">Loughlin, P.C., Day, D.A., Tyerman, S.D., Fedorova, E. and </w:t>
      </w:r>
      <w:r w:rsidRPr="00FF0F94">
        <w:rPr>
          <w:b/>
          <w:szCs w:val="22"/>
        </w:rPr>
        <w:t>Kaiser, B.N.</w:t>
      </w:r>
      <w:r w:rsidRPr="00FF0F94">
        <w:rPr>
          <w:szCs w:val="22"/>
        </w:rPr>
        <w:t xml:space="preserve"> 2008. Soybean nitrogen fixation is dependent on the activity of the novel peribacteroid membrane-bound transcription factor, GmSAT1. In Proceedings of the 8</w:t>
      </w:r>
      <w:r w:rsidRPr="00FF0F94">
        <w:rPr>
          <w:szCs w:val="22"/>
          <w:vertAlign w:val="superscript"/>
        </w:rPr>
        <w:t>th</w:t>
      </w:r>
      <w:r w:rsidRPr="00FF0F94">
        <w:rPr>
          <w:szCs w:val="22"/>
        </w:rPr>
        <w:t xml:space="preserve"> European Nitrogen Fixation Conference, M.De Cook and D. Vereecke (eds), Gent Belgium. pp 237.</w:t>
      </w:r>
    </w:p>
    <w:p w14:paraId="3BF4DB6B" w14:textId="77777777" w:rsidR="007D27F3" w:rsidRPr="00FF0F94" w:rsidRDefault="007D27F3" w:rsidP="007D27F3">
      <w:pPr>
        <w:rPr>
          <w:szCs w:val="22"/>
        </w:rPr>
      </w:pPr>
    </w:p>
    <w:p w14:paraId="3B925D8E" w14:textId="77777777" w:rsidR="007D27F3" w:rsidRPr="00FF0F94" w:rsidRDefault="007D27F3" w:rsidP="00FF0F94">
      <w:pPr>
        <w:numPr>
          <w:ilvl w:val="0"/>
          <w:numId w:val="30"/>
        </w:numPr>
        <w:spacing w:line="240" w:lineRule="auto"/>
        <w:rPr>
          <w:szCs w:val="22"/>
        </w:rPr>
      </w:pPr>
      <w:r w:rsidRPr="00FF0F94">
        <w:rPr>
          <w:szCs w:val="22"/>
        </w:rPr>
        <w:t xml:space="preserve">Garnett, T., Conn, V., Conn, S., Dhugga, K., Rafalski, A., Tester, M., Tingey, S., and </w:t>
      </w:r>
      <w:r w:rsidRPr="00FF0F94">
        <w:rPr>
          <w:b/>
          <w:szCs w:val="22"/>
        </w:rPr>
        <w:t>Kaiser, B. N.</w:t>
      </w:r>
      <w:r w:rsidRPr="00FF0F94">
        <w:rPr>
          <w:szCs w:val="22"/>
        </w:rPr>
        <w:t xml:space="preserve"> 2007. Changes in expression of root nitrogen transporters over the lifecycle of dwarf maize. In Nitrogen 2007: an International Symposium on Nitrogen Nutrition in Plants, Forde, B.J (ed); papers submitted by contributors to the Nitrogen 2007 Symposium, held at Lancaster University, 27-31 July 2007</w:t>
      </w:r>
    </w:p>
    <w:p w14:paraId="791BE793" w14:textId="77777777" w:rsidR="007D27F3" w:rsidRPr="00FF0F94" w:rsidRDefault="007D27F3" w:rsidP="007D27F3">
      <w:pPr>
        <w:rPr>
          <w:szCs w:val="22"/>
        </w:rPr>
      </w:pPr>
    </w:p>
    <w:p w14:paraId="3E8FEE2F" w14:textId="77777777" w:rsidR="007D27F3" w:rsidRPr="00FF0F94" w:rsidRDefault="007D27F3" w:rsidP="00FF0F94">
      <w:pPr>
        <w:numPr>
          <w:ilvl w:val="0"/>
          <w:numId w:val="30"/>
        </w:numPr>
        <w:spacing w:line="240" w:lineRule="auto"/>
        <w:rPr>
          <w:szCs w:val="22"/>
        </w:rPr>
      </w:pPr>
      <w:r w:rsidRPr="00FF0F94">
        <w:rPr>
          <w:szCs w:val="22"/>
        </w:rPr>
        <w:t xml:space="preserve">Carter, S., Ramesh, S., Loughlin, P., Tester, M., and </w:t>
      </w:r>
      <w:r w:rsidRPr="00FF0F94">
        <w:rPr>
          <w:b/>
          <w:szCs w:val="22"/>
        </w:rPr>
        <w:t>Kaiser, B.N.</w:t>
      </w:r>
      <w:r w:rsidRPr="00FF0F94">
        <w:rPr>
          <w:szCs w:val="22"/>
        </w:rPr>
        <w:t xml:space="preserve">  2007. The influx and efflux properties of the Arabidopsis high affinity ammonium transporters AtAMT 1;4 and AtAMT 1;5. In Nitrogen 2007: an International Symposium on Nitrogen Nutrition in Plants, Forde, B.J (ed) ; papers submitted by contributors to the Nitrogen 2007 Symposium, held at Lancaster University, 27-31 July 2007</w:t>
      </w:r>
    </w:p>
    <w:p w14:paraId="6C514788" w14:textId="77777777" w:rsidR="007D27F3" w:rsidRPr="00FF0F94" w:rsidRDefault="007D27F3" w:rsidP="007D27F3">
      <w:pPr>
        <w:spacing w:line="240" w:lineRule="auto"/>
        <w:rPr>
          <w:szCs w:val="22"/>
        </w:rPr>
      </w:pPr>
    </w:p>
    <w:p w14:paraId="13A998A2" w14:textId="6C4023F5" w:rsidR="007D27F3" w:rsidRPr="00FF0F94" w:rsidRDefault="007D27F3" w:rsidP="00FF0F94">
      <w:pPr>
        <w:numPr>
          <w:ilvl w:val="0"/>
          <w:numId w:val="30"/>
        </w:numPr>
        <w:spacing w:line="240" w:lineRule="auto"/>
        <w:rPr>
          <w:szCs w:val="22"/>
        </w:rPr>
      </w:pPr>
      <w:r w:rsidRPr="00FF0F94">
        <w:rPr>
          <w:rFonts w:cs="Helvetica"/>
          <w:bCs/>
          <w:color w:val="auto"/>
          <w:szCs w:val="22"/>
        </w:rPr>
        <w:t xml:space="preserve">Tavassolian I, Sedgley M, </w:t>
      </w:r>
      <w:r w:rsidRPr="00FF0F94">
        <w:rPr>
          <w:rFonts w:cs="Helvetica"/>
          <w:b/>
          <w:bCs/>
          <w:color w:val="auto"/>
          <w:szCs w:val="22"/>
        </w:rPr>
        <w:t>Kaiser BN</w:t>
      </w:r>
      <w:r w:rsidRPr="00FF0F94">
        <w:rPr>
          <w:rFonts w:cs="Helvetica"/>
          <w:bCs/>
          <w:color w:val="auto"/>
          <w:szCs w:val="22"/>
        </w:rPr>
        <w:t>, Wirthensohn M, Ford C</w:t>
      </w:r>
      <w:r w:rsidRPr="00FF0F94">
        <w:rPr>
          <w:rFonts w:cs="Helvetica"/>
          <w:color w:val="auto"/>
          <w:szCs w:val="22"/>
        </w:rPr>
        <w:t xml:space="preserve"> (2006) The construction of an almond linkage map using morphological and microsatellite markers on'Nonpariel'x'Lauranne'population. International Rosaceae Genomics Conference (3rd: 2006: Napier, New Zealand)</w:t>
      </w:r>
    </w:p>
    <w:p w14:paraId="7BB094A9" w14:textId="77777777" w:rsidR="007D27F3" w:rsidRPr="00FF0F94" w:rsidRDefault="007D27F3" w:rsidP="007D27F3">
      <w:pPr>
        <w:rPr>
          <w:szCs w:val="22"/>
        </w:rPr>
      </w:pPr>
    </w:p>
    <w:p w14:paraId="40441978" w14:textId="77777777" w:rsidR="007D27F3" w:rsidRPr="00FF0F94" w:rsidRDefault="007D27F3" w:rsidP="00FF0F94">
      <w:pPr>
        <w:numPr>
          <w:ilvl w:val="0"/>
          <w:numId w:val="30"/>
        </w:numPr>
        <w:spacing w:line="240" w:lineRule="auto"/>
        <w:rPr>
          <w:szCs w:val="22"/>
        </w:rPr>
      </w:pPr>
      <w:r w:rsidRPr="00FF0F94">
        <w:rPr>
          <w:szCs w:val="22"/>
        </w:rPr>
        <w:t xml:space="preserve">Tyerman S.D., </w:t>
      </w:r>
      <w:r w:rsidRPr="00FF0F94">
        <w:rPr>
          <w:b/>
          <w:szCs w:val="22"/>
        </w:rPr>
        <w:t>Kaiser B.N.</w:t>
      </w:r>
      <w:r w:rsidRPr="00FF0F94">
        <w:rPr>
          <w:szCs w:val="22"/>
        </w:rPr>
        <w:t xml:space="preserve">, Coleman R., Shelden M.C., Tilbrook J. 2005. </w:t>
      </w:r>
      <w:r w:rsidRPr="00FF0F94">
        <w:rPr>
          <w:bCs/>
          <w:szCs w:val="22"/>
        </w:rPr>
        <w:t xml:space="preserve">Investigating the hydraulics of grape vines: from the genes for the pores to the physiology of the pipes. In Blair, R.J., Williams, P.J., and Pretorius, I.S. (eds) </w:t>
      </w:r>
      <w:r w:rsidRPr="00FF0F94">
        <w:rPr>
          <w:szCs w:val="22"/>
        </w:rPr>
        <w:t>Proceedings of the twelfth Australian wine industry technical conference; 24-29 July 2004; Melbourne, VIC pp. 179-181.</w:t>
      </w:r>
    </w:p>
    <w:p w14:paraId="0F91F706" w14:textId="77777777" w:rsidR="007D27F3" w:rsidRPr="00FF0F94" w:rsidRDefault="007D27F3" w:rsidP="007D27F3">
      <w:pPr>
        <w:rPr>
          <w:szCs w:val="22"/>
        </w:rPr>
      </w:pPr>
    </w:p>
    <w:p w14:paraId="6DBE6044" w14:textId="77777777" w:rsidR="007D27F3" w:rsidRPr="00FF0F94" w:rsidRDefault="007D27F3" w:rsidP="00FF0F94">
      <w:pPr>
        <w:numPr>
          <w:ilvl w:val="0"/>
          <w:numId w:val="30"/>
        </w:numPr>
        <w:spacing w:line="240" w:lineRule="auto"/>
        <w:rPr>
          <w:szCs w:val="22"/>
        </w:rPr>
      </w:pPr>
      <w:r w:rsidRPr="00FF0F94">
        <w:rPr>
          <w:b/>
          <w:szCs w:val="22"/>
        </w:rPr>
        <w:t>Kaiser B.N.</w:t>
      </w:r>
      <w:r w:rsidRPr="00FF0F94">
        <w:rPr>
          <w:szCs w:val="22"/>
        </w:rPr>
        <w:t xml:space="preserve"> 2005. </w:t>
      </w:r>
      <w:r w:rsidRPr="00FF0F94">
        <w:rPr>
          <w:bCs/>
          <w:szCs w:val="22"/>
        </w:rPr>
        <w:t xml:space="preserve">The grapevine nutriome initiative - molecular approaches towards identifying sustainable grapevine nutrient use. In Blair, R.J., Williams, P.J., and Pretorius, I.S. (eds) </w:t>
      </w:r>
      <w:r w:rsidRPr="00FF0F94">
        <w:rPr>
          <w:szCs w:val="22"/>
        </w:rPr>
        <w:t>Proceedings of the twelfth Australian wine industry technical conference; 24-29 July 2004; Melbourne, VIC pp. 182-183.</w:t>
      </w:r>
    </w:p>
    <w:p w14:paraId="3B800EA8" w14:textId="77777777" w:rsidR="007D27F3" w:rsidRPr="00FF0F94" w:rsidRDefault="007D27F3" w:rsidP="007D27F3">
      <w:pPr>
        <w:rPr>
          <w:szCs w:val="22"/>
        </w:rPr>
      </w:pPr>
    </w:p>
    <w:p w14:paraId="3ABF29E9" w14:textId="77777777" w:rsidR="007D27F3" w:rsidRPr="00FF0F94" w:rsidRDefault="007D27F3" w:rsidP="00FF0F94">
      <w:pPr>
        <w:numPr>
          <w:ilvl w:val="0"/>
          <w:numId w:val="30"/>
        </w:numPr>
        <w:spacing w:line="240" w:lineRule="auto"/>
        <w:rPr>
          <w:szCs w:val="22"/>
        </w:rPr>
      </w:pPr>
      <w:r w:rsidRPr="00FF0F94">
        <w:rPr>
          <w:szCs w:val="22"/>
        </w:rPr>
        <w:t xml:space="preserve">Gridley K.L., Tyerman S.D., </w:t>
      </w:r>
      <w:r w:rsidRPr="00FF0F94">
        <w:rPr>
          <w:b/>
          <w:szCs w:val="22"/>
        </w:rPr>
        <w:t>Kasier B.N.</w:t>
      </w:r>
      <w:r w:rsidRPr="00FF0F94">
        <w:rPr>
          <w:szCs w:val="22"/>
        </w:rPr>
        <w:t xml:space="preserve"> (2005) </w:t>
      </w:r>
      <w:r w:rsidRPr="00FF0F94">
        <w:rPr>
          <w:bCs/>
          <w:szCs w:val="22"/>
        </w:rPr>
        <w:t xml:space="preserve">The grapevine nutriome initiative - molecular approaches towards identifying sustainable grapevine nutrient use. In Blair, R.J., Williams, P.J., and Pretorius, I.S. (eds) </w:t>
      </w:r>
      <w:r w:rsidRPr="00FF0F94">
        <w:rPr>
          <w:szCs w:val="22"/>
        </w:rPr>
        <w:t>Proceedings of the twelfth Australian wine industry technical conference; 24-29 July 2004; Melbourne, VIC pp. 264.</w:t>
      </w:r>
    </w:p>
    <w:p w14:paraId="5AED8392" w14:textId="77777777" w:rsidR="007D27F3" w:rsidRPr="00FF0F94" w:rsidRDefault="007D27F3" w:rsidP="007D27F3">
      <w:pPr>
        <w:spacing w:line="240" w:lineRule="auto"/>
        <w:rPr>
          <w:szCs w:val="22"/>
        </w:rPr>
      </w:pPr>
    </w:p>
    <w:p w14:paraId="5072B097" w14:textId="1A221056" w:rsidR="007D27F3" w:rsidRPr="00FF0F94" w:rsidRDefault="007D27F3" w:rsidP="00FF0F94">
      <w:pPr>
        <w:numPr>
          <w:ilvl w:val="0"/>
          <w:numId w:val="30"/>
        </w:numPr>
        <w:spacing w:line="240" w:lineRule="auto"/>
        <w:rPr>
          <w:szCs w:val="22"/>
        </w:rPr>
      </w:pPr>
      <w:r w:rsidRPr="00FF0F94">
        <w:rPr>
          <w:rFonts w:cs="Helvetica"/>
          <w:bCs/>
          <w:color w:val="auto"/>
          <w:szCs w:val="22"/>
        </w:rPr>
        <w:t xml:space="preserve">Sedgley M, Wirthensohn M, Arús P, Gregory D, </w:t>
      </w:r>
      <w:r w:rsidRPr="00FF0F94">
        <w:rPr>
          <w:rFonts w:cs="Helvetica"/>
          <w:b/>
          <w:bCs/>
          <w:color w:val="auto"/>
          <w:szCs w:val="22"/>
        </w:rPr>
        <w:t>Kaiser BN</w:t>
      </w:r>
      <w:r w:rsidRPr="00FF0F94">
        <w:rPr>
          <w:rFonts w:cs="Helvetica"/>
          <w:bCs/>
          <w:color w:val="auto"/>
          <w:szCs w:val="22"/>
        </w:rPr>
        <w:t>, Collins G</w:t>
      </w:r>
      <w:r w:rsidRPr="00FF0F94">
        <w:rPr>
          <w:rFonts w:cs="Helvetica"/>
          <w:color w:val="auto"/>
          <w:szCs w:val="22"/>
        </w:rPr>
        <w:t xml:space="preserve"> (2004) An Integrated Genetic Linkage Map for Almond Based on RAPD, ISSR, SSR and Morphological Markers. International Symposium on Harnessing the Potential of Horticulture in the Asian-Pacific Region 694</w:t>
      </w:r>
      <w:r w:rsidRPr="00FF0F94">
        <w:rPr>
          <w:rFonts w:cs="Helvetica"/>
          <w:b/>
          <w:bCs/>
          <w:color w:val="auto"/>
          <w:szCs w:val="22"/>
        </w:rPr>
        <w:t>:</w:t>
      </w:r>
      <w:r w:rsidRPr="00FF0F94">
        <w:rPr>
          <w:rFonts w:cs="Helvetica"/>
          <w:color w:val="auto"/>
          <w:szCs w:val="22"/>
        </w:rPr>
        <w:t xml:space="preserve"> 67-72</w:t>
      </w:r>
    </w:p>
    <w:p w14:paraId="4822873D" w14:textId="77777777" w:rsidR="007D27F3" w:rsidRPr="00FF0F94" w:rsidRDefault="007D27F3" w:rsidP="007D27F3">
      <w:pPr>
        <w:rPr>
          <w:szCs w:val="22"/>
        </w:rPr>
      </w:pPr>
    </w:p>
    <w:p w14:paraId="09D5938C" w14:textId="47C62CE2" w:rsidR="004463AB" w:rsidRPr="00FF0F94" w:rsidRDefault="007D27F3" w:rsidP="00FF0F94">
      <w:pPr>
        <w:numPr>
          <w:ilvl w:val="0"/>
          <w:numId w:val="30"/>
        </w:numPr>
        <w:spacing w:line="240" w:lineRule="auto"/>
        <w:rPr>
          <w:szCs w:val="22"/>
        </w:rPr>
      </w:pPr>
      <w:r w:rsidRPr="00FF0F94">
        <w:rPr>
          <w:szCs w:val="22"/>
        </w:rPr>
        <w:t xml:space="preserve">Thomson, R., </w:t>
      </w:r>
      <w:r w:rsidRPr="00FF0F94">
        <w:rPr>
          <w:b/>
          <w:szCs w:val="22"/>
        </w:rPr>
        <w:t>Kaiser, B.N.</w:t>
      </w:r>
      <w:r w:rsidRPr="00FF0F94">
        <w:rPr>
          <w:szCs w:val="22"/>
        </w:rPr>
        <w:t>, Moreau, S., Puppo, A., Finnegan, P.M., Day, D.A. (2002) Cation transport in soybean root nodules. Nitrogen Fixation: From Molecules to Crop Productivity. Current Plant Science and Biotechnology in Agriculture Volume 38, 2000, p 342.</w:t>
      </w:r>
    </w:p>
    <w:sectPr w:rsidR="004463AB" w:rsidRPr="00FF0F94" w:rsidSect="00B927FA">
      <w:footerReference w:type="even" r:id="rId7"/>
      <w:footerReference w:type="default" r:id="rId8"/>
      <w:pgSz w:w="11899" w:h="16838" w:code="1"/>
      <w:pgMar w:top="851"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25BFB" w14:textId="77777777" w:rsidR="006B39A7" w:rsidRDefault="006B39A7" w:rsidP="008A42AA">
      <w:pPr>
        <w:spacing w:line="240" w:lineRule="auto"/>
      </w:pPr>
      <w:r>
        <w:separator/>
      </w:r>
    </w:p>
  </w:endnote>
  <w:endnote w:type="continuationSeparator" w:id="0">
    <w:p w14:paraId="1F89F0C6" w14:textId="77777777" w:rsidR="006B39A7" w:rsidRDefault="006B39A7" w:rsidP="008A4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646C1" w14:textId="77777777" w:rsidR="00913038" w:rsidRPr="007714C0" w:rsidRDefault="00913038" w:rsidP="004B68EE">
    <w:pPr>
      <w:pStyle w:val="Footer"/>
      <w:pBdr>
        <w:top w:val="none" w:sz="0" w:space="0" w:color="auto"/>
      </w:pBdr>
      <w:tabs>
        <w:tab w:val="left" w:pos="142"/>
        <w:tab w:val="center" w:pos="5103"/>
        <w:tab w:val="right" w:pos="9639"/>
      </w:tabs>
      <w:ind w:left="0"/>
      <w:rPr>
        <w:b w:val="0"/>
      </w:rPr>
    </w:pPr>
    <w:r w:rsidRPr="007714C0">
      <w:rPr>
        <w:rStyle w:val="PageNumber"/>
        <w:rFonts w:ascii="Arial Narrow" w:hAnsi="Arial Narrow"/>
      </w:rPr>
      <w:t>B.N. Kaiser</w:t>
    </w:r>
    <w:r w:rsidRPr="007714C0">
      <w:rPr>
        <w:rStyle w:val="PageNumber"/>
        <w:rFonts w:ascii="Arial Narrow" w:hAnsi="Arial Narrow"/>
      </w:rPr>
      <w:tab/>
    </w:r>
    <w:r w:rsidRPr="007714C0">
      <w:rPr>
        <w:rStyle w:val="PageNumber"/>
        <w:rFonts w:ascii="Arial Narrow" w:hAnsi="Arial Narrow"/>
      </w:rPr>
      <w:tab/>
    </w:r>
    <w:r w:rsidRPr="007714C0">
      <w:rPr>
        <w:rStyle w:val="PageNumber"/>
        <w:rFonts w:ascii="Arial Narrow" w:hAnsi="Arial Narrow"/>
      </w:rPr>
      <w:tab/>
    </w:r>
    <w:r w:rsidRPr="007714C0">
      <w:rPr>
        <w:rStyle w:val="PageNumber"/>
        <w:rFonts w:ascii="Arial Narrow" w:hAnsi="Arial Narrow"/>
      </w:rPr>
      <w:tab/>
    </w:r>
    <w:r w:rsidRPr="007714C0">
      <w:rPr>
        <w:rStyle w:val="PageNumber"/>
        <w:rFonts w:ascii="Arial Narrow" w:hAnsi="Arial Narrow"/>
      </w:rPr>
      <w:fldChar w:fldCharType="begin"/>
    </w:r>
    <w:r w:rsidRPr="007714C0">
      <w:rPr>
        <w:rStyle w:val="PageNumber"/>
        <w:rFonts w:ascii="Arial Narrow" w:hAnsi="Arial Narrow"/>
      </w:rPr>
      <w:instrText xml:space="preserve"> PAGE </w:instrText>
    </w:r>
    <w:r w:rsidRPr="007714C0">
      <w:rPr>
        <w:rStyle w:val="PageNumber"/>
        <w:rFonts w:ascii="Arial Narrow" w:hAnsi="Arial Narrow"/>
      </w:rPr>
      <w:fldChar w:fldCharType="separate"/>
    </w:r>
    <w:r w:rsidR="00156118">
      <w:rPr>
        <w:rStyle w:val="PageNumber"/>
        <w:rFonts w:ascii="Arial Narrow" w:hAnsi="Arial Narrow"/>
        <w:noProof/>
      </w:rPr>
      <w:t>2</w:t>
    </w:r>
    <w:r w:rsidRPr="007714C0">
      <w:rPr>
        <w:rStyle w:val="PageNumber"/>
        <w:rFonts w:ascii="Arial Narrow" w:hAnsi="Arial Narrow"/>
      </w:rPr>
      <w:fldChar w:fldCharType="end"/>
    </w:r>
    <w:r w:rsidRPr="007714C0">
      <w:rPr>
        <w:rStyle w:val="PageNumber"/>
        <w:rFonts w:ascii="Arial Narrow" w:hAnsi="Arial Narrow"/>
      </w:rPr>
      <w:t xml:space="preserve"> of </w:t>
    </w:r>
    <w:r w:rsidRPr="007714C0">
      <w:rPr>
        <w:rStyle w:val="PageNumber"/>
        <w:rFonts w:ascii="Arial Narrow" w:hAnsi="Arial Narrow"/>
      </w:rPr>
      <w:fldChar w:fldCharType="begin"/>
    </w:r>
    <w:r w:rsidRPr="007714C0">
      <w:rPr>
        <w:rStyle w:val="PageNumber"/>
        <w:rFonts w:ascii="Arial Narrow" w:hAnsi="Arial Narrow"/>
      </w:rPr>
      <w:instrText xml:space="preserve"> NUMPAGES </w:instrText>
    </w:r>
    <w:r w:rsidRPr="007714C0">
      <w:rPr>
        <w:rStyle w:val="PageNumber"/>
        <w:rFonts w:ascii="Arial Narrow" w:hAnsi="Arial Narrow"/>
      </w:rPr>
      <w:fldChar w:fldCharType="separate"/>
    </w:r>
    <w:r w:rsidR="00156118">
      <w:rPr>
        <w:rStyle w:val="PageNumber"/>
        <w:rFonts w:ascii="Arial Narrow" w:hAnsi="Arial Narrow"/>
        <w:noProof/>
      </w:rPr>
      <w:t>6</w:t>
    </w:r>
    <w:r w:rsidRPr="007714C0">
      <w:rPr>
        <w:rStyle w:val="PageNumber"/>
        <w:rFonts w:ascii="Arial Narrow" w:hAnsi="Arial Narrow"/>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B0E8F" w14:textId="77777777" w:rsidR="00913038" w:rsidRPr="004B68EE" w:rsidRDefault="00913038" w:rsidP="00966E98">
    <w:pPr>
      <w:pStyle w:val="Footer"/>
      <w:pBdr>
        <w:top w:val="none" w:sz="0" w:space="0" w:color="auto"/>
      </w:pBdr>
      <w:tabs>
        <w:tab w:val="left" w:pos="142"/>
        <w:tab w:val="center" w:pos="5103"/>
        <w:tab w:val="left" w:pos="9356"/>
      </w:tabs>
      <w:ind w:left="0"/>
      <w:rPr>
        <w:rFonts w:ascii="Arial Narrow" w:hAnsi="Arial Narrow"/>
      </w:rPr>
    </w:pPr>
    <w:r>
      <w:rPr>
        <w:rStyle w:val="PageNumber"/>
        <w:rFonts w:ascii="Arial Narrow" w:hAnsi="Arial Narrow"/>
      </w:rPr>
      <w:t>B.N. Kaiser</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6B39A7">
      <w:rPr>
        <w:rStyle w:val="PageNumber"/>
        <w:rFonts w:ascii="Arial Narrow" w:hAnsi="Arial Narrow"/>
        <w:noProof/>
      </w:rPr>
      <w:t>1</w:t>
    </w:r>
    <w:r>
      <w:rPr>
        <w:rStyle w:val="PageNumber"/>
        <w:rFonts w:ascii="Arial Narrow" w:hAnsi="Arial Narrow"/>
      </w:rPr>
      <w:fldChar w:fldCharType="end"/>
    </w:r>
    <w:r>
      <w:rPr>
        <w:rStyle w:val="PageNumber"/>
        <w:rFonts w:ascii="Arial Narrow" w:hAnsi="Arial Narrow"/>
      </w:rPr>
      <w:t xml:space="preserve"> of </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sidR="006B39A7">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9EF2E" w14:textId="77777777" w:rsidR="006B39A7" w:rsidRDefault="006B39A7" w:rsidP="008A42AA">
      <w:pPr>
        <w:spacing w:line="240" w:lineRule="auto"/>
      </w:pPr>
      <w:r>
        <w:separator/>
      </w:r>
    </w:p>
  </w:footnote>
  <w:footnote w:type="continuationSeparator" w:id="0">
    <w:p w14:paraId="099B80A3" w14:textId="77777777" w:rsidR="006B39A7" w:rsidRDefault="006B39A7" w:rsidP="008A42A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9D4"/>
    <w:multiLevelType w:val="hybridMultilevel"/>
    <w:tmpl w:val="BC685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675FC"/>
    <w:multiLevelType w:val="multilevel"/>
    <w:tmpl w:val="046278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57C0794"/>
    <w:multiLevelType w:val="multilevel"/>
    <w:tmpl w:val="038A08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3F0261"/>
    <w:multiLevelType w:val="hybridMultilevel"/>
    <w:tmpl w:val="FCEA261A"/>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E4150B"/>
    <w:multiLevelType w:val="hybridMultilevel"/>
    <w:tmpl w:val="5EF6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51A5E"/>
    <w:multiLevelType w:val="hybridMultilevel"/>
    <w:tmpl w:val="6F5E06A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3915A0D"/>
    <w:multiLevelType w:val="hybridMultilevel"/>
    <w:tmpl w:val="5104648C"/>
    <w:lvl w:ilvl="0" w:tplc="04090001">
      <w:start w:val="1"/>
      <w:numFmt w:val="bullet"/>
      <w:lvlText w:val=""/>
      <w:lvlJc w:val="left"/>
      <w:pPr>
        <w:ind w:left="644" w:hanging="360"/>
      </w:pPr>
      <w:rPr>
        <w:rFonts w:ascii="Symbol" w:hAnsi="Symbol" w:hint="default"/>
      </w:rPr>
    </w:lvl>
    <w:lvl w:ilvl="1" w:tplc="00190409">
      <w:start w:val="1"/>
      <w:numFmt w:val="lowerLetter"/>
      <w:lvlText w:val="%2."/>
      <w:lvlJc w:val="left"/>
      <w:pPr>
        <w:tabs>
          <w:tab w:val="num" w:pos="1364"/>
        </w:tabs>
        <w:ind w:left="1364" w:hanging="360"/>
      </w:pPr>
    </w:lvl>
    <w:lvl w:ilvl="2" w:tplc="001B0409">
      <w:start w:val="1"/>
      <w:numFmt w:val="lowerRoman"/>
      <w:lvlText w:val="%3."/>
      <w:lvlJc w:val="right"/>
      <w:pPr>
        <w:tabs>
          <w:tab w:val="num" w:pos="2084"/>
        </w:tabs>
        <w:ind w:left="2084" w:hanging="180"/>
      </w:pPr>
    </w:lvl>
    <w:lvl w:ilvl="3" w:tplc="000F0409">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nsid w:val="149D6E4F"/>
    <w:multiLevelType w:val="hybridMultilevel"/>
    <w:tmpl w:val="320EC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DE63D4"/>
    <w:multiLevelType w:val="hybridMultilevel"/>
    <w:tmpl w:val="19CAA52E"/>
    <w:lvl w:ilvl="0" w:tplc="F8A8F5F4">
      <w:start w:val="1"/>
      <w:numFmt w:val="decimal"/>
      <w:lvlText w:val="%1."/>
      <w:lvlJc w:val="left"/>
      <w:pPr>
        <w:tabs>
          <w:tab w:val="num" w:pos="938"/>
        </w:tabs>
        <w:ind w:left="938" w:hanging="720"/>
      </w:pPr>
      <w:rPr>
        <w:rFonts w:hint="default"/>
        <w:i w:val="0"/>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9">
    <w:nsid w:val="1B9B4E5C"/>
    <w:multiLevelType w:val="hybridMultilevel"/>
    <w:tmpl w:val="05248BD0"/>
    <w:lvl w:ilvl="0" w:tplc="04090001">
      <w:start w:val="1"/>
      <w:numFmt w:val="bullet"/>
      <w:lvlText w:val=""/>
      <w:lvlJc w:val="left"/>
      <w:pPr>
        <w:ind w:left="644" w:hanging="360"/>
      </w:pPr>
      <w:rPr>
        <w:rFonts w:ascii="Symbol" w:hAnsi="Symbol" w:hint="default"/>
      </w:rPr>
    </w:lvl>
    <w:lvl w:ilvl="1" w:tplc="00190409">
      <w:start w:val="1"/>
      <w:numFmt w:val="lowerLetter"/>
      <w:lvlText w:val="%2."/>
      <w:lvlJc w:val="left"/>
      <w:pPr>
        <w:tabs>
          <w:tab w:val="num" w:pos="1364"/>
        </w:tabs>
        <w:ind w:left="1364" w:hanging="360"/>
      </w:pPr>
    </w:lvl>
    <w:lvl w:ilvl="2" w:tplc="001B0409">
      <w:start w:val="1"/>
      <w:numFmt w:val="lowerRoman"/>
      <w:lvlText w:val="%3."/>
      <w:lvlJc w:val="right"/>
      <w:pPr>
        <w:tabs>
          <w:tab w:val="num" w:pos="2084"/>
        </w:tabs>
        <w:ind w:left="2084" w:hanging="180"/>
      </w:pPr>
    </w:lvl>
    <w:lvl w:ilvl="3" w:tplc="000F0409">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10">
    <w:nsid w:val="1BB1193A"/>
    <w:multiLevelType w:val="hybridMultilevel"/>
    <w:tmpl w:val="06AE94B6"/>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282304"/>
    <w:multiLevelType w:val="hybridMultilevel"/>
    <w:tmpl w:val="9F16BF94"/>
    <w:lvl w:ilvl="0" w:tplc="0AACB634">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C250AE"/>
    <w:multiLevelType w:val="multilevel"/>
    <w:tmpl w:val="9132A8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3864C59"/>
    <w:multiLevelType w:val="hybridMultilevel"/>
    <w:tmpl w:val="0152069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5E41D86"/>
    <w:multiLevelType w:val="hybridMultilevel"/>
    <w:tmpl w:val="9132A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1E4DD9"/>
    <w:multiLevelType w:val="hybridMultilevel"/>
    <w:tmpl w:val="7D0A6BBC"/>
    <w:lvl w:ilvl="0" w:tplc="BD722E54">
      <w:start w:val="1"/>
      <w:numFmt w:val="none"/>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3410C"/>
    <w:multiLevelType w:val="hybridMultilevel"/>
    <w:tmpl w:val="73889CC8"/>
    <w:lvl w:ilvl="0" w:tplc="000F0409">
      <w:start w:val="1"/>
      <w:numFmt w:val="decimal"/>
      <w:lvlText w:val="%1."/>
      <w:lvlJc w:val="left"/>
      <w:pPr>
        <w:tabs>
          <w:tab w:val="num" w:pos="-1123"/>
        </w:tabs>
        <w:ind w:left="-1123" w:hanging="360"/>
      </w:pPr>
    </w:lvl>
    <w:lvl w:ilvl="1" w:tplc="00190409">
      <w:start w:val="1"/>
      <w:numFmt w:val="lowerLetter"/>
      <w:lvlText w:val="%2."/>
      <w:lvlJc w:val="left"/>
      <w:pPr>
        <w:tabs>
          <w:tab w:val="num" w:pos="-403"/>
        </w:tabs>
        <w:ind w:left="-403" w:hanging="360"/>
      </w:pPr>
    </w:lvl>
    <w:lvl w:ilvl="2" w:tplc="001B0409">
      <w:start w:val="1"/>
      <w:numFmt w:val="lowerRoman"/>
      <w:lvlText w:val="%3."/>
      <w:lvlJc w:val="right"/>
      <w:pPr>
        <w:tabs>
          <w:tab w:val="num" w:pos="317"/>
        </w:tabs>
        <w:ind w:left="317" w:hanging="180"/>
      </w:pPr>
    </w:lvl>
    <w:lvl w:ilvl="3" w:tplc="000F0409">
      <w:start w:val="1"/>
      <w:numFmt w:val="decimal"/>
      <w:lvlText w:val="%4."/>
      <w:lvlJc w:val="left"/>
      <w:pPr>
        <w:tabs>
          <w:tab w:val="num" w:pos="1037"/>
        </w:tabs>
        <w:ind w:left="1037" w:hanging="360"/>
      </w:pPr>
    </w:lvl>
    <w:lvl w:ilvl="4" w:tplc="00190409" w:tentative="1">
      <w:start w:val="1"/>
      <w:numFmt w:val="lowerLetter"/>
      <w:lvlText w:val="%5."/>
      <w:lvlJc w:val="left"/>
      <w:pPr>
        <w:tabs>
          <w:tab w:val="num" w:pos="1757"/>
        </w:tabs>
        <w:ind w:left="1757" w:hanging="360"/>
      </w:pPr>
    </w:lvl>
    <w:lvl w:ilvl="5" w:tplc="001B0409" w:tentative="1">
      <w:start w:val="1"/>
      <w:numFmt w:val="lowerRoman"/>
      <w:lvlText w:val="%6."/>
      <w:lvlJc w:val="right"/>
      <w:pPr>
        <w:tabs>
          <w:tab w:val="num" w:pos="2477"/>
        </w:tabs>
        <w:ind w:left="2477" w:hanging="180"/>
      </w:pPr>
    </w:lvl>
    <w:lvl w:ilvl="6" w:tplc="000F0409" w:tentative="1">
      <w:start w:val="1"/>
      <w:numFmt w:val="decimal"/>
      <w:lvlText w:val="%7."/>
      <w:lvlJc w:val="left"/>
      <w:pPr>
        <w:tabs>
          <w:tab w:val="num" w:pos="3197"/>
        </w:tabs>
        <w:ind w:left="3197" w:hanging="360"/>
      </w:pPr>
    </w:lvl>
    <w:lvl w:ilvl="7" w:tplc="00190409" w:tentative="1">
      <w:start w:val="1"/>
      <w:numFmt w:val="lowerLetter"/>
      <w:lvlText w:val="%8."/>
      <w:lvlJc w:val="left"/>
      <w:pPr>
        <w:tabs>
          <w:tab w:val="num" w:pos="3917"/>
        </w:tabs>
        <w:ind w:left="3917" w:hanging="360"/>
      </w:pPr>
    </w:lvl>
    <w:lvl w:ilvl="8" w:tplc="001B0409" w:tentative="1">
      <w:start w:val="1"/>
      <w:numFmt w:val="lowerRoman"/>
      <w:lvlText w:val="%9."/>
      <w:lvlJc w:val="right"/>
      <w:pPr>
        <w:tabs>
          <w:tab w:val="num" w:pos="4637"/>
        </w:tabs>
        <w:ind w:left="4637" w:hanging="180"/>
      </w:pPr>
    </w:lvl>
  </w:abstractNum>
  <w:abstractNum w:abstractNumId="17">
    <w:nsid w:val="3ABE3A09"/>
    <w:multiLevelType w:val="hybridMultilevel"/>
    <w:tmpl w:val="7316A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18286A"/>
    <w:multiLevelType w:val="hybridMultilevel"/>
    <w:tmpl w:val="441A1026"/>
    <w:lvl w:ilvl="0" w:tplc="04090001">
      <w:start w:val="1"/>
      <w:numFmt w:val="bullet"/>
      <w:lvlText w:val=""/>
      <w:lvlJc w:val="left"/>
      <w:pPr>
        <w:ind w:left="644" w:hanging="360"/>
      </w:pPr>
      <w:rPr>
        <w:rFonts w:ascii="Symbol" w:hAnsi="Symbol" w:hint="default"/>
      </w:rPr>
    </w:lvl>
    <w:lvl w:ilvl="1" w:tplc="00190409">
      <w:start w:val="1"/>
      <w:numFmt w:val="lowerLetter"/>
      <w:lvlText w:val="%2."/>
      <w:lvlJc w:val="left"/>
      <w:pPr>
        <w:tabs>
          <w:tab w:val="num" w:pos="1364"/>
        </w:tabs>
        <w:ind w:left="1364" w:hanging="360"/>
      </w:pPr>
    </w:lvl>
    <w:lvl w:ilvl="2" w:tplc="001B0409">
      <w:start w:val="1"/>
      <w:numFmt w:val="lowerRoman"/>
      <w:lvlText w:val="%3."/>
      <w:lvlJc w:val="right"/>
      <w:pPr>
        <w:tabs>
          <w:tab w:val="num" w:pos="2084"/>
        </w:tabs>
        <w:ind w:left="2084" w:hanging="180"/>
      </w:pPr>
    </w:lvl>
    <w:lvl w:ilvl="3" w:tplc="000F0409">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19">
    <w:nsid w:val="474A36B8"/>
    <w:multiLevelType w:val="hybridMultilevel"/>
    <w:tmpl w:val="49C2F92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78C00C0"/>
    <w:multiLevelType w:val="hybridMultilevel"/>
    <w:tmpl w:val="B756F108"/>
    <w:lvl w:ilvl="0" w:tplc="75B64AD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8D1FD0"/>
    <w:multiLevelType w:val="hybridMultilevel"/>
    <w:tmpl w:val="59AA329E"/>
    <w:lvl w:ilvl="0" w:tplc="04090001">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367024"/>
    <w:multiLevelType w:val="hybridMultilevel"/>
    <w:tmpl w:val="C452F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FC51C0"/>
    <w:multiLevelType w:val="hybridMultilevel"/>
    <w:tmpl w:val="0462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C03BC2"/>
    <w:multiLevelType w:val="hybridMultilevel"/>
    <w:tmpl w:val="AE4654C0"/>
    <w:lvl w:ilvl="0" w:tplc="04090001">
      <w:start w:val="1"/>
      <w:numFmt w:val="decimal"/>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5B018FB"/>
    <w:multiLevelType w:val="hybridMultilevel"/>
    <w:tmpl w:val="2A3C8A0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57F3424A"/>
    <w:multiLevelType w:val="hybridMultilevel"/>
    <w:tmpl w:val="BC685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0B35BC"/>
    <w:multiLevelType w:val="multilevel"/>
    <w:tmpl w:val="D27690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961794"/>
    <w:multiLevelType w:val="multilevel"/>
    <w:tmpl w:val="ED6283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00D6C02"/>
    <w:multiLevelType w:val="singleLevel"/>
    <w:tmpl w:val="9B604F4E"/>
    <w:lvl w:ilvl="0">
      <w:start w:val="10"/>
      <w:numFmt w:val="decimal"/>
      <w:lvlText w:val="%1)"/>
      <w:legacy w:legacy="1" w:legacySpace="0" w:legacyIndent="570"/>
      <w:lvlJc w:val="left"/>
      <w:pPr>
        <w:ind w:left="570" w:hanging="570"/>
      </w:pPr>
    </w:lvl>
  </w:abstractNum>
  <w:abstractNum w:abstractNumId="30">
    <w:nsid w:val="799F13E7"/>
    <w:multiLevelType w:val="hybridMultilevel"/>
    <w:tmpl w:val="862CB9D2"/>
    <w:lvl w:ilvl="0" w:tplc="04090001">
      <w:start w:val="1"/>
      <w:numFmt w:val="bullet"/>
      <w:lvlText w:val=""/>
      <w:lvlJc w:val="left"/>
      <w:pPr>
        <w:ind w:left="644" w:hanging="360"/>
      </w:pPr>
      <w:rPr>
        <w:rFonts w:ascii="Symbol" w:hAnsi="Symbol" w:hint="default"/>
      </w:rPr>
    </w:lvl>
    <w:lvl w:ilvl="1" w:tplc="00190409">
      <w:start w:val="1"/>
      <w:numFmt w:val="lowerLetter"/>
      <w:lvlText w:val="%2."/>
      <w:lvlJc w:val="left"/>
      <w:pPr>
        <w:tabs>
          <w:tab w:val="num" w:pos="1364"/>
        </w:tabs>
        <w:ind w:left="1364" w:hanging="360"/>
      </w:pPr>
    </w:lvl>
    <w:lvl w:ilvl="2" w:tplc="001B0409">
      <w:start w:val="1"/>
      <w:numFmt w:val="lowerRoman"/>
      <w:lvlText w:val="%3."/>
      <w:lvlJc w:val="right"/>
      <w:pPr>
        <w:tabs>
          <w:tab w:val="num" w:pos="2084"/>
        </w:tabs>
        <w:ind w:left="2084" w:hanging="180"/>
      </w:pPr>
    </w:lvl>
    <w:lvl w:ilvl="3" w:tplc="000F0409">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31">
    <w:nsid w:val="7AF56139"/>
    <w:multiLevelType w:val="hybridMultilevel"/>
    <w:tmpl w:val="76C840D8"/>
    <w:lvl w:ilvl="0" w:tplc="0AACB634">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8"/>
  </w:num>
  <w:num w:numId="4">
    <w:abstractNumId w:val="13"/>
  </w:num>
  <w:num w:numId="5">
    <w:abstractNumId w:val="29"/>
  </w:num>
  <w:num w:numId="6">
    <w:abstractNumId w:val="29"/>
    <w:lvlOverride w:ilvl="0">
      <w:lvl w:ilvl="0">
        <w:start w:val="11"/>
        <w:numFmt w:val="decimal"/>
        <w:lvlText w:val="%1)"/>
        <w:legacy w:legacy="1" w:legacySpace="0" w:legacyIndent="570"/>
        <w:lvlJc w:val="left"/>
        <w:pPr>
          <w:ind w:left="570" w:hanging="570"/>
        </w:pPr>
      </w:lvl>
    </w:lvlOverride>
  </w:num>
  <w:num w:numId="7">
    <w:abstractNumId w:val="18"/>
  </w:num>
  <w:num w:numId="8">
    <w:abstractNumId w:val="19"/>
  </w:num>
  <w:num w:numId="9">
    <w:abstractNumId w:val="30"/>
  </w:num>
  <w:num w:numId="10">
    <w:abstractNumId w:val="6"/>
  </w:num>
  <w:num w:numId="11">
    <w:abstractNumId w:val="9"/>
  </w:num>
  <w:num w:numId="12">
    <w:abstractNumId w:val="25"/>
  </w:num>
  <w:num w:numId="13">
    <w:abstractNumId w:val="21"/>
  </w:num>
  <w:num w:numId="14">
    <w:abstractNumId w:val="11"/>
  </w:num>
  <w:num w:numId="15">
    <w:abstractNumId w:val="17"/>
  </w:num>
  <w:num w:numId="16">
    <w:abstractNumId w:val="20"/>
  </w:num>
  <w:num w:numId="17">
    <w:abstractNumId w:val="2"/>
  </w:num>
  <w:num w:numId="18">
    <w:abstractNumId w:val="15"/>
  </w:num>
  <w:num w:numId="19">
    <w:abstractNumId w:val="5"/>
  </w:num>
  <w:num w:numId="20">
    <w:abstractNumId w:val="22"/>
  </w:num>
  <w:num w:numId="21">
    <w:abstractNumId w:val="28"/>
  </w:num>
  <w:num w:numId="22">
    <w:abstractNumId w:val="14"/>
  </w:num>
  <w:num w:numId="23">
    <w:abstractNumId w:val="12"/>
  </w:num>
  <w:num w:numId="24">
    <w:abstractNumId w:val="27"/>
  </w:num>
  <w:num w:numId="25">
    <w:abstractNumId w:val="23"/>
  </w:num>
  <w:num w:numId="26">
    <w:abstractNumId w:val="4"/>
  </w:num>
  <w:num w:numId="27">
    <w:abstractNumId w:val="1"/>
  </w:num>
  <w:num w:numId="28">
    <w:abstractNumId w:val="7"/>
  </w:num>
  <w:num w:numId="29">
    <w:abstractNumId w:val="24"/>
  </w:num>
  <w:num w:numId="30">
    <w:abstractNumId w:val="31"/>
  </w:num>
  <w:num w:numId="31">
    <w:abstractNumId w:val="10"/>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23"/>
    <w:rsid w:val="0002287C"/>
    <w:rsid w:val="000323D0"/>
    <w:rsid w:val="0003385A"/>
    <w:rsid w:val="00047D08"/>
    <w:rsid w:val="0005707B"/>
    <w:rsid w:val="00075B2B"/>
    <w:rsid w:val="00091E6C"/>
    <w:rsid w:val="000A1299"/>
    <w:rsid w:val="000A193A"/>
    <w:rsid w:val="000A7D8A"/>
    <w:rsid w:val="000B3523"/>
    <w:rsid w:val="000B6DB7"/>
    <w:rsid w:val="000C063C"/>
    <w:rsid w:val="000D752A"/>
    <w:rsid w:val="000F33B4"/>
    <w:rsid w:val="000F4465"/>
    <w:rsid w:val="000F5C56"/>
    <w:rsid w:val="000F7091"/>
    <w:rsid w:val="00136586"/>
    <w:rsid w:val="0014099F"/>
    <w:rsid w:val="00150426"/>
    <w:rsid w:val="00155FB7"/>
    <w:rsid w:val="00156118"/>
    <w:rsid w:val="001620A5"/>
    <w:rsid w:val="00174B2F"/>
    <w:rsid w:val="0018328B"/>
    <w:rsid w:val="001A5D80"/>
    <w:rsid w:val="001A7D51"/>
    <w:rsid w:val="001B0C64"/>
    <w:rsid w:val="001B1D47"/>
    <w:rsid w:val="001B713F"/>
    <w:rsid w:val="001C3684"/>
    <w:rsid w:val="001D4CAD"/>
    <w:rsid w:val="001D604C"/>
    <w:rsid w:val="001E1BC8"/>
    <w:rsid w:val="002002D4"/>
    <w:rsid w:val="00204F86"/>
    <w:rsid w:val="002466BA"/>
    <w:rsid w:val="0026051B"/>
    <w:rsid w:val="00262B10"/>
    <w:rsid w:val="00270C3D"/>
    <w:rsid w:val="002767EA"/>
    <w:rsid w:val="00280D5F"/>
    <w:rsid w:val="002852E5"/>
    <w:rsid w:val="002A73DB"/>
    <w:rsid w:val="002B7FB8"/>
    <w:rsid w:val="002C2E7F"/>
    <w:rsid w:val="002D0AEF"/>
    <w:rsid w:val="002D354F"/>
    <w:rsid w:val="002E2C48"/>
    <w:rsid w:val="002F2E5A"/>
    <w:rsid w:val="002F5230"/>
    <w:rsid w:val="00352D3F"/>
    <w:rsid w:val="003648DD"/>
    <w:rsid w:val="00382DB3"/>
    <w:rsid w:val="0038657E"/>
    <w:rsid w:val="003C730C"/>
    <w:rsid w:val="003D5882"/>
    <w:rsid w:val="003E37A5"/>
    <w:rsid w:val="003F25F2"/>
    <w:rsid w:val="00411894"/>
    <w:rsid w:val="004463AB"/>
    <w:rsid w:val="004565F9"/>
    <w:rsid w:val="00470ACC"/>
    <w:rsid w:val="00492093"/>
    <w:rsid w:val="004A7898"/>
    <w:rsid w:val="004B68EE"/>
    <w:rsid w:val="004C1B30"/>
    <w:rsid w:val="004C3163"/>
    <w:rsid w:val="004D2A73"/>
    <w:rsid w:val="004D6262"/>
    <w:rsid w:val="004E43AA"/>
    <w:rsid w:val="004E5278"/>
    <w:rsid w:val="004F0176"/>
    <w:rsid w:val="00514A77"/>
    <w:rsid w:val="005370C1"/>
    <w:rsid w:val="005661FB"/>
    <w:rsid w:val="00571305"/>
    <w:rsid w:val="00591038"/>
    <w:rsid w:val="005B43D6"/>
    <w:rsid w:val="005D408C"/>
    <w:rsid w:val="005E307A"/>
    <w:rsid w:val="006027BC"/>
    <w:rsid w:val="00623225"/>
    <w:rsid w:val="006245A6"/>
    <w:rsid w:val="00624BB9"/>
    <w:rsid w:val="00624F5F"/>
    <w:rsid w:val="00635327"/>
    <w:rsid w:val="006366C6"/>
    <w:rsid w:val="006422BF"/>
    <w:rsid w:val="00657C18"/>
    <w:rsid w:val="00657FAD"/>
    <w:rsid w:val="00661785"/>
    <w:rsid w:val="00666C32"/>
    <w:rsid w:val="006745CF"/>
    <w:rsid w:val="00683C46"/>
    <w:rsid w:val="006B04B8"/>
    <w:rsid w:val="006B1C6A"/>
    <w:rsid w:val="006B39A7"/>
    <w:rsid w:val="006B4415"/>
    <w:rsid w:val="006F2089"/>
    <w:rsid w:val="007040B2"/>
    <w:rsid w:val="00706212"/>
    <w:rsid w:val="00711BC0"/>
    <w:rsid w:val="007316E4"/>
    <w:rsid w:val="0073480F"/>
    <w:rsid w:val="00745468"/>
    <w:rsid w:val="00766F8E"/>
    <w:rsid w:val="007714C0"/>
    <w:rsid w:val="00783713"/>
    <w:rsid w:val="00786C4E"/>
    <w:rsid w:val="007A2933"/>
    <w:rsid w:val="007C5738"/>
    <w:rsid w:val="007D27F3"/>
    <w:rsid w:val="008024D3"/>
    <w:rsid w:val="00843A5E"/>
    <w:rsid w:val="00851F0E"/>
    <w:rsid w:val="00852939"/>
    <w:rsid w:val="00863920"/>
    <w:rsid w:val="00863C87"/>
    <w:rsid w:val="00870E80"/>
    <w:rsid w:val="008955B0"/>
    <w:rsid w:val="008A42AA"/>
    <w:rsid w:val="008B363C"/>
    <w:rsid w:val="008C794E"/>
    <w:rsid w:val="008D5C0C"/>
    <w:rsid w:val="008E5F67"/>
    <w:rsid w:val="008F780F"/>
    <w:rsid w:val="00913038"/>
    <w:rsid w:val="00913D52"/>
    <w:rsid w:val="0091659C"/>
    <w:rsid w:val="0093370D"/>
    <w:rsid w:val="00966E98"/>
    <w:rsid w:val="009729D7"/>
    <w:rsid w:val="00972C3F"/>
    <w:rsid w:val="00980EBD"/>
    <w:rsid w:val="00984DFA"/>
    <w:rsid w:val="00985E3A"/>
    <w:rsid w:val="009A506D"/>
    <w:rsid w:val="009D1CB0"/>
    <w:rsid w:val="00A01118"/>
    <w:rsid w:val="00A255EA"/>
    <w:rsid w:val="00A37FD3"/>
    <w:rsid w:val="00A461B5"/>
    <w:rsid w:val="00A468EE"/>
    <w:rsid w:val="00A939BD"/>
    <w:rsid w:val="00AC7131"/>
    <w:rsid w:val="00AD1E08"/>
    <w:rsid w:val="00AE440E"/>
    <w:rsid w:val="00AE6E97"/>
    <w:rsid w:val="00B00BCF"/>
    <w:rsid w:val="00B27486"/>
    <w:rsid w:val="00B34453"/>
    <w:rsid w:val="00B42C6F"/>
    <w:rsid w:val="00B51C52"/>
    <w:rsid w:val="00B60E87"/>
    <w:rsid w:val="00B6185A"/>
    <w:rsid w:val="00B703DC"/>
    <w:rsid w:val="00B746EF"/>
    <w:rsid w:val="00B927FA"/>
    <w:rsid w:val="00BA0F88"/>
    <w:rsid w:val="00BA1244"/>
    <w:rsid w:val="00BF1D8A"/>
    <w:rsid w:val="00BF642E"/>
    <w:rsid w:val="00C36727"/>
    <w:rsid w:val="00C60DA1"/>
    <w:rsid w:val="00C927B7"/>
    <w:rsid w:val="00CB15D1"/>
    <w:rsid w:val="00CB3726"/>
    <w:rsid w:val="00CB7B1D"/>
    <w:rsid w:val="00CD11F8"/>
    <w:rsid w:val="00D459BA"/>
    <w:rsid w:val="00D52A59"/>
    <w:rsid w:val="00D72AE0"/>
    <w:rsid w:val="00DC69D6"/>
    <w:rsid w:val="00DE2730"/>
    <w:rsid w:val="00DE668A"/>
    <w:rsid w:val="00E04463"/>
    <w:rsid w:val="00E16C2D"/>
    <w:rsid w:val="00E512A9"/>
    <w:rsid w:val="00E55459"/>
    <w:rsid w:val="00E81954"/>
    <w:rsid w:val="00E904C5"/>
    <w:rsid w:val="00EB04E5"/>
    <w:rsid w:val="00EC68F0"/>
    <w:rsid w:val="00F00791"/>
    <w:rsid w:val="00F10B3F"/>
    <w:rsid w:val="00F2300B"/>
    <w:rsid w:val="00F25312"/>
    <w:rsid w:val="00F27C23"/>
    <w:rsid w:val="00F44297"/>
    <w:rsid w:val="00F54959"/>
    <w:rsid w:val="00F63A3F"/>
    <w:rsid w:val="00F64752"/>
    <w:rsid w:val="00F67DEC"/>
    <w:rsid w:val="00F738B8"/>
    <w:rsid w:val="00F73AB9"/>
    <w:rsid w:val="00F74F9E"/>
    <w:rsid w:val="00F838EA"/>
    <w:rsid w:val="00FA1A01"/>
    <w:rsid w:val="00FD0A8A"/>
    <w:rsid w:val="00FF0F94"/>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F0F8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40" w:lineRule="atLeast"/>
    </w:pPr>
    <w:rPr>
      <w:rFonts w:ascii="Helvetica" w:hAnsi="Helvetica"/>
      <w:color w:val="000000"/>
      <w:sz w:val="22"/>
      <w:lang w:val="en-US"/>
    </w:rPr>
  </w:style>
  <w:style w:type="paragraph" w:styleId="Heading1">
    <w:name w:val="heading 1"/>
    <w:basedOn w:val="Normal"/>
    <w:next w:val="Normal"/>
    <w:link w:val="Heading1Char"/>
    <w:uiPriority w:val="9"/>
    <w:qFormat/>
    <w:rsid w:val="00624F5F"/>
    <w:pPr>
      <w:keepNext/>
      <w:spacing w:before="240" w:after="60"/>
      <w:outlineLvl w:val="0"/>
    </w:pPr>
    <w:rPr>
      <w:rFonts w:ascii="Arial Narrow" w:eastAsia="ＭＳ ゴシック" w:hAnsi="Arial Narrow"/>
      <w:b/>
      <w:bCs/>
      <w:kern w:val="32"/>
      <w:sz w:val="32"/>
      <w:szCs w:val="32"/>
    </w:rPr>
  </w:style>
  <w:style w:type="paragraph" w:styleId="Heading2">
    <w:name w:val="heading 2"/>
    <w:basedOn w:val="Normal"/>
    <w:next w:val="Normal"/>
    <w:link w:val="Heading2Char"/>
    <w:uiPriority w:val="9"/>
    <w:unhideWhenUsed/>
    <w:qFormat/>
    <w:rsid w:val="006745CF"/>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iPriority w:val="9"/>
    <w:unhideWhenUsed/>
    <w:qFormat/>
    <w:rsid w:val="006745CF"/>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iPriority w:val="9"/>
    <w:unhideWhenUsed/>
    <w:qFormat/>
    <w:rsid w:val="006745CF"/>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iPriority w:val="9"/>
    <w:unhideWhenUsed/>
    <w:qFormat/>
    <w:rsid w:val="006745CF"/>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Pr>
      <w:rFonts w:ascii="Times" w:hAnsi="Times"/>
      <w:noProof w:val="0"/>
      <w:color w:val="000000"/>
      <w:sz w:val="20"/>
      <w:lang w:val="en-US"/>
    </w:rPr>
  </w:style>
  <w:style w:type="paragraph" w:styleId="BodyText">
    <w:name w:val="Body Text"/>
    <w:basedOn w:val="Normal"/>
    <w:pPr>
      <w:spacing w:after="120"/>
      <w:ind w:left="-1080" w:right="1080"/>
      <w:jc w:val="both"/>
    </w:pPr>
  </w:style>
  <w:style w:type="paragraph" w:styleId="List">
    <w:name w:val="List"/>
    <w:basedOn w:val="BodyText"/>
    <w:pPr>
      <w:tabs>
        <w:tab w:val="left" w:pos="-360"/>
      </w:tabs>
      <w:spacing w:before="60" w:after="60"/>
      <w:ind w:left="-360" w:hanging="360"/>
    </w:pPr>
  </w:style>
  <w:style w:type="paragraph" w:customStyle="1" w:styleId="HeaderBase">
    <w:name w:val="Header Base"/>
    <w:basedOn w:val="Normal"/>
    <w:pPr>
      <w:pBdr>
        <w:bottom w:val="single" w:sz="6" w:space="2" w:color="auto"/>
      </w:pBdr>
      <w:tabs>
        <w:tab w:val="center" w:pos="2430"/>
        <w:tab w:val="right" w:pos="6480"/>
      </w:tabs>
      <w:ind w:left="-1800" w:right="1080"/>
    </w:pPr>
    <w:rPr>
      <w:b/>
      <w:caps/>
      <w:sz w:val="18"/>
    </w:rPr>
  </w:style>
  <w:style w:type="paragraph" w:customStyle="1" w:styleId="HeadingBase">
    <w:name w:val="Heading Base"/>
    <w:basedOn w:val="Normal"/>
    <w:pPr>
      <w:ind w:left="-1800" w:right="1080"/>
    </w:pPr>
    <w:rPr>
      <w:b/>
    </w:rPr>
  </w:style>
  <w:style w:type="paragraph" w:customStyle="1" w:styleId="DocumentLabel">
    <w:name w:val="Document Label"/>
    <w:basedOn w:val="HeadingBase"/>
    <w:pPr>
      <w:spacing w:after="120"/>
      <w:jc w:val="center"/>
    </w:pPr>
    <w:rPr>
      <w:b w:val="0"/>
      <w:caps/>
      <w:sz w:val="32"/>
    </w:rPr>
  </w:style>
  <w:style w:type="paragraph" w:customStyle="1" w:styleId="Address">
    <w:name w:val="Address"/>
    <w:basedOn w:val="BodyText"/>
    <w:pPr>
      <w:spacing w:after="0"/>
      <w:ind w:left="-1800"/>
      <w:jc w:val="center"/>
    </w:pPr>
    <w:rPr>
      <w:i/>
    </w:rPr>
  </w:style>
  <w:style w:type="paragraph" w:customStyle="1" w:styleId="CompanyName">
    <w:name w:val="Company Name"/>
    <w:basedOn w:val="BodyText"/>
    <w:pPr>
      <w:spacing w:before="120" w:after="0" w:line="280" w:lineRule="exact"/>
      <w:ind w:left="-1800"/>
      <w:jc w:val="left"/>
    </w:pPr>
    <w:rPr>
      <w:b/>
    </w:rPr>
  </w:style>
  <w:style w:type="paragraph" w:customStyle="1" w:styleId="Name">
    <w:name w:val="Name"/>
    <w:basedOn w:val="BodyText"/>
    <w:pPr>
      <w:spacing w:before="120" w:after="0"/>
      <w:ind w:left="-1800"/>
      <w:jc w:val="center"/>
    </w:pPr>
    <w:rPr>
      <w:b/>
      <w:i/>
      <w:sz w:val="24"/>
    </w:rPr>
  </w:style>
  <w:style w:type="paragraph" w:customStyle="1" w:styleId="Objective">
    <w:name w:val="Objective"/>
    <w:basedOn w:val="BodyText"/>
    <w:pPr>
      <w:pBdr>
        <w:top w:val="single" w:sz="6" w:space="2" w:color="auto"/>
      </w:pBdr>
      <w:spacing w:before="240" w:line="280" w:lineRule="exact"/>
      <w:ind w:left="-1800"/>
    </w:pPr>
  </w:style>
  <w:style w:type="paragraph" w:styleId="Date">
    <w:name w:val="Date"/>
    <w:basedOn w:val="BodyText"/>
    <w:pPr>
      <w:ind w:left="0"/>
      <w:jc w:val="right"/>
    </w:pPr>
    <w:rPr>
      <w:i/>
    </w:rPr>
  </w:style>
  <w:style w:type="paragraph" w:customStyle="1" w:styleId="CityState">
    <w:name w:val="City/State"/>
    <w:basedOn w:val="BodyText"/>
    <w:pPr>
      <w:spacing w:after="0"/>
      <w:ind w:left="-1800"/>
      <w:jc w:val="left"/>
    </w:pPr>
  </w:style>
  <w:style w:type="paragraph" w:customStyle="1" w:styleId="Institution">
    <w:name w:val="Institution"/>
    <w:basedOn w:val="BodyText"/>
    <w:pPr>
      <w:tabs>
        <w:tab w:val="right" w:pos="6663"/>
      </w:tabs>
      <w:spacing w:before="120" w:after="0" w:line="260" w:lineRule="exact"/>
      <w:ind w:left="-1800"/>
      <w:jc w:val="left"/>
    </w:pPr>
    <w:rPr>
      <w:b/>
    </w:rPr>
  </w:style>
  <w:style w:type="paragraph" w:customStyle="1" w:styleId="Achievement">
    <w:name w:val="Achievement"/>
    <w:basedOn w:val="BodyText"/>
    <w:pPr>
      <w:jc w:val="left"/>
    </w:pPr>
    <w:rPr>
      <w:smallCaps/>
      <w:sz w:val="20"/>
    </w:rPr>
  </w:style>
  <w:style w:type="paragraph" w:styleId="List2">
    <w:name w:val="List 2"/>
    <w:basedOn w:val="List"/>
    <w:pPr>
      <w:tabs>
        <w:tab w:val="clear" w:pos="-360"/>
      </w:tabs>
      <w:ind w:left="-461" w:hanging="259"/>
    </w:pPr>
  </w:style>
  <w:style w:type="character" w:customStyle="1" w:styleId="Lead-inEmphasis">
    <w:name w:val="Lead-in Emphasis"/>
    <w:rPr>
      <w:rFonts w:ascii="Times" w:hAnsi="Times"/>
      <w:b/>
      <w:i/>
      <w:noProof w:val="0"/>
      <w:color w:val="000000"/>
      <w:sz w:val="20"/>
      <w:lang w:val="en-US"/>
    </w:rPr>
  </w:style>
  <w:style w:type="paragraph" w:styleId="Header">
    <w:name w:val="header"/>
    <w:basedOn w:val="HeaderBase"/>
  </w:style>
  <w:style w:type="paragraph" w:styleId="Footer">
    <w:name w:val="footer"/>
    <w:basedOn w:val="HeaderBase"/>
    <w:pPr>
      <w:pBdr>
        <w:top w:val="single" w:sz="6" w:space="2" w:color="auto"/>
        <w:bottom w:val="none" w:sz="0" w:space="0" w:color="auto"/>
      </w:pBdr>
    </w:pPr>
  </w:style>
  <w:style w:type="character" w:styleId="CommentReference">
    <w:name w:val="annotation reference"/>
    <w:rPr>
      <w:rFonts w:ascii="Times" w:hAnsi="Times"/>
      <w:noProof w:val="0"/>
      <w:color w:val="000000"/>
      <w:sz w:val="16"/>
      <w:lang w:val="en-US"/>
    </w:rPr>
  </w:style>
  <w:style w:type="paragraph" w:customStyle="1" w:styleId="BrentsPalatino24">
    <w:name w:val="Brent's Palatino 24"/>
    <w:basedOn w:val="Normal"/>
    <w:pPr>
      <w:spacing w:line="480" w:lineRule="atLeast"/>
      <w:jc w:val="both"/>
    </w:pPr>
    <w:rPr>
      <w:rFonts w:ascii="Palatino" w:hAnsi="Palatino"/>
      <w:sz w:val="24"/>
    </w:rPr>
  </w:style>
  <w:style w:type="character" w:customStyle="1" w:styleId="Job">
    <w:name w:val="Job"/>
    <w:rPr>
      <w:rFonts w:ascii="Times" w:hAnsi="Times"/>
      <w:smallCaps/>
      <w:noProof w:val="0"/>
      <w:color w:val="000000"/>
      <w:sz w:val="20"/>
      <w:lang w:val="en-US"/>
    </w:rPr>
  </w:style>
  <w:style w:type="paragraph" w:customStyle="1" w:styleId="MacroText1">
    <w:name w:val="Macro Text1"/>
    <w:basedOn w:val="BodyText"/>
    <w:pPr>
      <w:ind w:left="0" w:right="0"/>
      <w:jc w:val="left"/>
    </w:pPr>
    <w:rPr>
      <w:rFonts w:ascii="Courier" w:hAnsi="Courier"/>
      <w:sz w:val="20"/>
    </w:rPr>
  </w:style>
  <w:style w:type="paragraph" w:customStyle="1" w:styleId="ListBulletFirst">
    <w:name w:val="List Bullet First"/>
    <w:basedOn w:val="List2"/>
    <w:pPr>
      <w:spacing w:before="120"/>
    </w:pPr>
  </w:style>
  <w:style w:type="paragraph" w:customStyle="1" w:styleId="ListBulletLast">
    <w:name w:val="List Bullet Last"/>
    <w:basedOn w:val="List2"/>
    <w:pPr>
      <w:spacing w:after="120"/>
    </w:pPr>
  </w:style>
  <w:style w:type="paragraph" w:styleId="ListBullet4">
    <w:name w:val="List Bullet 4"/>
    <w:basedOn w:val="List"/>
    <w:pPr>
      <w:tabs>
        <w:tab w:val="clear" w:pos="-360"/>
      </w:tabs>
    </w:pPr>
  </w:style>
  <w:style w:type="paragraph" w:customStyle="1" w:styleId="ListNumberFirst">
    <w:name w:val="List Number First"/>
    <w:basedOn w:val="ListBullet4"/>
    <w:pPr>
      <w:spacing w:before="120"/>
    </w:pPr>
  </w:style>
  <w:style w:type="paragraph" w:customStyle="1" w:styleId="ListNumberLast">
    <w:name w:val="List Number Last"/>
    <w:basedOn w:val="ListBullet4"/>
    <w:pPr>
      <w:spacing w:after="120"/>
    </w:pPr>
  </w:style>
  <w:style w:type="paragraph" w:customStyle="1" w:styleId="SectionTitle">
    <w:name w:val="Section Title"/>
    <w:basedOn w:val="HeadingBase"/>
    <w:pPr>
      <w:pBdr>
        <w:top w:val="single" w:sz="6" w:space="2" w:color="auto"/>
      </w:pBdr>
      <w:spacing w:before="120" w:after="120" w:line="260" w:lineRule="exact"/>
      <w:jc w:val="center"/>
    </w:pPr>
    <w:rPr>
      <w:b w:val="0"/>
      <w:smallCaps/>
      <w:sz w:val="24"/>
    </w:rPr>
  </w:style>
  <w:style w:type="paragraph" w:customStyle="1" w:styleId="SectionSubtitle">
    <w:name w:val="Section Subtitle"/>
    <w:basedOn w:val="SectionTitle"/>
    <w:pPr>
      <w:pBdr>
        <w:top w:val="none" w:sz="0" w:space="0" w:color="auto"/>
      </w:pBdr>
      <w:jc w:val="left"/>
    </w:pPr>
    <w:rPr>
      <w:caps/>
      <w:smallCaps w:val="0"/>
      <w:sz w:val="18"/>
    </w:rPr>
  </w:style>
  <w:style w:type="paragraph" w:customStyle="1" w:styleId="FootnoteBase">
    <w:name w:val="Footnote Base"/>
    <w:basedOn w:val="Normal"/>
    <w:pPr>
      <w:spacing w:line="220" w:lineRule="exact"/>
    </w:pPr>
    <w:rPr>
      <w:sz w:val="18"/>
    </w:rPr>
  </w:style>
  <w:style w:type="paragraph" w:styleId="CommentText">
    <w:name w:val="annotation text"/>
    <w:basedOn w:val="FootnoteBase"/>
    <w:pPr>
      <w:spacing w:after="120"/>
    </w:pPr>
  </w:style>
  <w:style w:type="paragraph" w:customStyle="1" w:styleId="ListFirst">
    <w:name w:val="List First"/>
    <w:basedOn w:val="List"/>
    <w:pPr>
      <w:spacing w:before="120"/>
    </w:pPr>
  </w:style>
  <w:style w:type="paragraph" w:customStyle="1" w:styleId="ListLast">
    <w:name w:val="List Last"/>
    <w:basedOn w:val="List"/>
    <w:pPr>
      <w:spacing w:after="120"/>
    </w:pPr>
  </w:style>
  <w:style w:type="character" w:styleId="PageNumber">
    <w:name w:val="page number"/>
    <w:rPr>
      <w:rFonts w:ascii="Times" w:hAnsi="Times"/>
      <w:b/>
      <w:noProof w:val="0"/>
      <w:color w:val="000000"/>
      <w:sz w:val="20"/>
      <w:lang w:val="en-US"/>
    </w:rPr>
  </w:style>
  <w:style w:type="paragraph" w:customStyle="1" w:styleId="Picture">
    <w:name w:val="Picture"/>
    <w:basedOn w:val="BodyText"/>
  </w:style>
  <w:style w:type="character" w:customStyle="1" w:styleId="Supercript">
    <w:name w:val="Supercript"/>
    <w:rPr>
      <w:rFonts w:ascii="Times" w:hAnsi="Times"/>
      <w:noProof w:val="0"/>
      <w:color w:val="000000"/>
      <w:sz w:val="20"/>
      <w:lang w:val="en-US"/>
    </w:rPr>
  </w:style>
  <w:style w:type="character" w:styleId="Emphasis">
    <w:name w:val="Emphasis"/>
    <w:qFormat/>
    <w:rPr>
      <w:rFonts w:ascii="Times" w:hAnsi="Times"/>
      <w:i/>
      <w:noProof w:val="0"/>
      <w:color w:val="000000"/>
      <w:sz w:val="20"/>
      <w:lang w:val="en-US"/>
    </w:rPr>
  </w:style>
  <w:style w:type="paragraph" w:customStyle="1" w:styleId="PersonalData">
    <w:name w:val="Personal Data"/>
    <w:basedOn w:val="BodyText"/>
    <w:rPr>
      <w:i/>
    </w:rPr>
  </w:style>
  <w:style w:type="paragraph" w:styleId="BodyText2">
    <w:name w:val="Body Text 2"/>
    <w:basedOn w:val="BodyText"/>
    <w:pPr>
      <w:ind w:left="-720"/>
    </w:pPr>
  </w:style>
  <w:style w:type="paragraph" w:styleId="List4">
    <w:name w:val="List 4"/>
    <w:basedOn w:val="List"/>
    <w:pPr>
      <w:tabs>
        <w:tab w:val="clear" w:pos="-360"/>
      </w:tabs>
      <w:ind w:left="0"/>
    </w:pPr>
  </w:style>
  <w:style w:type="paragraph" w:styleId="ListBullet5">
    <w:name w:val="List Bullet 5"/>
    <w:basedOn w:val="List"/>
    <w:pPr>
      <w:tabs>
        <w:tab w:val="clear" w:pos="-360"/>
        <w:tab w:val="left" w:pos="360"/>
      </w:tabs>
      <w:ind w:left="360"/>
    </w:pPr>
  </w:style>
  <w:style w:type="paragraph" w:styleId="ListBullet">
    <w:name w:val="List Bullet"/>
    <w:basedOn w:val="List"/>
    <w:pPr>
      <w:tabs>
        <w:tab w:val="clear" w:pos="-360"/>
        <w:tab w:val="left" w:pos="720"/>
      </w:tabs>
      <w:ind w:left="720"/>
    </w:pPr>
  </w:style>
  <w:style w:type="paragraph" w:styleId="ListNumber">
    <w:name w:val="List Number"/>
    <w:basedOn w:val="List"/>
    <w:pPr>
      <w:tabs>
        <w:tab w:val="clear" w:pos="-360"/>
        <w:tab w:val="left" w:pos="1080"/>
      </w:tabs>
      <w:ind w:left="1080"/>
    </w:pPr>
  </w:style>
  <w:style w:type="paragraph" w:styleId="List3">
    <w:name w:val="List 3"/>
    <w:basedOn w:val="List2"/>
    <w:pPr>
      <w:ind w:left="101" w:hanging="360"/>
    </w:pPr>
  </w:style>
  <w:style w:type="paragraph" w:styleId="List5">
    <w:name w:val="List 5"/>
    <w:basedOn w:val="List2"/>
    <w:pPr>
      <w:ind w:left="461" w:hanging="360"/>
    </w:pPr>
  </w:style>
  <w:style w:type="paragraph" w:styleId="ListBullet2">
    <w:name w:val="List Bullet 2"/>
    <w:basedOn w:val="List2"/>
    <w:pPr>
      <w:ind w:left="821" w:hanging="360"/>
    </w:pPr>
  </w:style>
  <w:style w:type="paragraph" w:styleId="ListBullet3">
    <w:name w:val="List Bullet 3"/>
    <w:basedOn w:val="List2"/>
    <w:pPr>
      <w:ind w:left="1181" w:hanging="360"/>
    </w:pPr>
  </w:style>
  <w:style w:type="paragraph" w:styleId="ListNumber2">
    <w:name w:val="List Number 2"/>
    <w:basedOn w:val="ListBullet4"/>
    <w:pPr>
      <w:ind w:left="0"/>
    </w:pPr>
  </w:style>
  <w:style w:type="paragraph" w:styleId="ListNumber3">
    <w:name w:val="List Number 3"/>
    <w:basedOn w:val="ListBullet4"/>
    <w:pPr>
      <w:ind w:left="360"/>
    </w:pPr>
  </w:style>
  <w:style w:type="paragraph" w:styleId="ListNumber4">
    <w:name w:val="List Number 4"/>
    <w:basedOn w:val="ListBullet4"/>
    <w:pPr>
      <w:ind w:left="720"/>
    </w:pPr>
  </w:style>
  <w:style w:type="paragraph" w:styleId="ListNumber5">
    <w:name w:val="List Number 5"/>
    <w:basedOn w:val="ListBullet4"/>
    <w:pPr>
      <w:ind w:left="1080"/>
    </w:pPr>
  </w:style>
  <w:style w:type="paragraph" w:styleId="ListContinue">
    <w:name w:val="List Continue"/>
    <w:basedOn w:val="List"/>
    <w:pPr>
      <w:tabs>
        <w:tab w:val="clear" w:pos="-360"/>
      </w:tabs>
      <w:ind w:firstLine="0"/>
    </w:pPr>
  </w:style>
  <w:style w:type="paragraph" w:styleId="ListContinue2">
    <w:name w:val="List Continue 2"/>
    <w:basedOn w:val="ListContinue"/>
    <w:pPr>
      <w:ind w:left="0"/>
    </w:pPr>
  </w:style>
  <w:style w:type="paragraph" w:styleId="ListContinue3">
    <w:name w:val="List Continue 3"/>
    <w:basedOn w:val="ListContinue"/>
    <w:pPr>
      <w:ind w:left="360"/>
    </w:pPr>
  </w:style>
  <w:style w:type="paragraph" w:styleId="ListContinue4">
    <w:name w:val="List Continue 4"/>
    <w:basedOn w:val="ListContinue"/>
    <w:pPr>
      <w:ind w:left="720"/>
    </w:pPr>
  </w:style>
  <w:style w:type="paragraph" w:styleId="ListContinue5">
    <w:name w:val="List Continue 5"/>
    <w:basedOn w:val="ListContinue"/>
    <w:pPr>
      <w:ind w:left="1080"/>
    </w:pPr>
  </w:style>
  <w:style w:type="character" w:styleId="FootnoteReference">
    <w:name w:val="footnote reference"/>
    <w:basedOn w:val="DefaultParagraphFont1"/>
    <w:rPr>
      <w:rFonts w:ascii="Times" w:hAnsi="Times"/>
      <w:noProof w:val="0"/>
      <w:color w:val="000000"/>
      <w:sz w:val="20"/>
      <w:lang w:val="en-US"/>
    </w:rPr>
  </w:style>
  <w:style w:type="character" w:styleId="Hyperlink">
    <w:name w:val="Hyperlink"/>
    <w:uiPriority w:val="99"/>
    <w:rPr>
      <w:color w:val="0000FF"/>
      <w:u w:val="single"/>
    </w:rPr>
  </w:style>
  <w:style w:type="table" w:styleId="TableGrid">
    <w:name w:val="Table Grid"/>
    <w:basedOn w:val="TableNormal"/>
    <w:uiPriority w:val="59"/>
    <w:rsid w:val="00D52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24F5F"/>
    <w:rPr>
      <w:rFonts w:ascii="Arial Narrow" w:eastAsia="ＭＳ ゴシック" w:hAnsi="Arial Narrow" w:cs="Times New Roman"/>
      <w:b/>
      <w:bCs/>
      <w:color w:val="000000"/>
      <w:kern w:val="32"/>
      <w:sz w:val="32"/>
      <w:szCs w:val="32"/>
      <w:lang w:val="en-US"/>
    </w:rPr>
  </w:style>
  <w:style w:type="character" w:customStyle="1" w:styleId="Heading2Char">
    <w:name w:val="Heading 2 Char"/>
    <w:link w:val="Heading2"/>
    <w:uiPriority w:val="9"/>
    <w:rsid w:val="006745CF"/>
    <w:rPr>
      <w:rFonts w:ascii="Calibri" w:eastAsia="ＭＳ ゴシック" w:hAnsi="Calibri" w:cs="Times New Roman"/>
      <w:b/>
      <w:bCs/>
      <w:i/>
      <w:iCs/>
      <w:color w:val="000000"/>
      <w:sz w:val="28"/>
      <w:szCs w:val="28"/>
      <w:lang w:val="en-US"/>
    </w:rPr>
  </w:style>
  <w:style w:type="character" w:customStyle="1" w:styleId="Heading3Char">
    <w:name w:val="Heading 3 Char"/>
    <w:link w:val="Heading3"/>
    <w:uiPriority w:val="9"/>
    <w:rsid w:val="006745CF"/>
    <w:rPr>
      <w:rFonts w:ascii="Calibri" w:eastAsia="ＭＳ ゴシック" w:hAnsi="Calibri" w:cs="Times New Roman"/>
      <w:b/>
      <w:bCs/>
      <w:color w:val="000000"/>
      <w:sz w:val="26"/>
      <w:szCs w:val="26"/>
      <w:lang w:val="en-US"/>
    </w:rPr>
  </w:style>
  <w:style w:type="character" w:customStyle="1" w:styleId="Heading4Char">
    <w:name w:val="Heading 4 Char"/>
    <w:link w:val="Heading4"/>
    <w:uiPriority w:val="9"/>
    <w:rsid w:val="006745CF"/>
    <w:rPr>
      <w:rFonts w:ascii="Cambria" w:eastAsia="ＭＳ 明朝" w:hAnsi="Cambria" w:cs="Times New Roman"/>
      <w:b/>
      <w:bCs/>
      <w:color w:val="000000"/>
      <w:sz w:val="28"/>
      <w:szCs w:val="28"/>
      <w:lang w:val="en-US"/>
    </w:rPr>
  </w:style>
  <w:style w:type="character" w:customStyle="1" w:styleId="Heading5Char">
    <w:name w:val="Heading 5 Char"/>
    <w:link w:val="Heading5"/>
    <w:uiPriority w:val="9"/>
    <w:rsid w:val="006745CF"/>
    <w:rPr>
      <w:rFonts w:ascii="Cambria" w:eastAsia="ＭＳ 明朝" w:hAnsi="Cambria" w:cs="Times New Roman"/>
      <w:b/>
      <w:bCs/>
      <w:i/>
      <w:iCs/>
      <w:color w:val="000000"/>
      <w:sz w:val="26"/>
      <w:szCs w:val="26"/>
      <w:lang w:val="en-US"/>
    </w:rPr>
  </w:style>
  <w:style w:type="paragraph" w:styleId="ListParagraph">
    <w:name w:val="List Paragraph"/>
    <w:basedOn w:val="Normal"/>
    <w:uiPriority w:val="34"/>
    <w:qFormat/>
    <w:rsid w:val="00AE6E97"/>
    <w:pPr>
      <w:spacing w:before="120" w:line="240" w:lineRule="auto"/>
      <w:ind w:left="720"/>
      <w:contextualSpacing/>
    </w:pPr>
    <w:rPr>
      <w:rFonts w:ascii="Times New Roman" w:eastAsia="ＭＳ 明朝" w:hAnsi="Times New Roman"/>
      <w:color w:val="auto"/>
      <w:sz w:val="24"/>
      <w:szCs w:val="24"/>
      <w:lang w:val="en-AU" w:eastAsia="ja-JP"/>
    </w:rPr>
  </w:style>
  <w:style w:type="paragraph" w:styleId="BalloonText">
    <w:name w:val="Balloon Text"/>
    <w:basedOn w:val="Normal"/>
    <w:link w:val="BalloonTextChar"/>
    <w:uiPriority w:val="99"/>
    <w:semiHidden/>
    <w:unhideWhenUsed/>
    <w:rsid w:val="00C927B7"/>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927B7"/>
    <w:rPr>
      <w:rFonts w:ascii="Lucida Grande" w:hAnsi="Lucida Grande" w:cs="Lucida Grande"/>
      <w:color w:val="000000"/>
      <w:sz w:val="18"/>
      <w:szCs w:val="18"/>
      <w:lang w:val="en-US"/>
    </w:rPr>
  </w:style>
  <w:style w:type="paragraph" w:styleId="NormalWeb">
    <w:name w:val="Normal (Web)"/>
    <w:basedOn w:val="Normal"/>
    <w:uiPriority w:val="99"/>
    <w:semiHidden/>
    <w:unhideWhenUsed/>
    <w:rsid w:val="0091303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5275">
      <w:bodyDiv w:val="1"/>
      <w:marLeft w:val="0"/>
      <w:marRight w:val="0"/>
      <w:marTop w:val="0"/>
      <w:marBottom w:val="0"/>
      <w:divBdr>
        <w:top w:val="none" w:sz="0" w:space="0" w:color="auto"/>
        <w:left w:val="none" w:sz="0" w:space="0" w:color="auto"/>
        <w:bottom w:val="none" w:sz="0" w:space="0" w:color="auto"/>
        <w:right w:val="none" w:sz="0" w:space="0" w:color="auto"/>
      </w:divBdr>
    </w:div>
    <w:div w:id="149636079">
      <w:bodyDiv w:val="1"/>
      <w:marLeft w:val="0"/>
      <w:marRight w:val="0"/>
      <w:marTop w:val="0"/>
      <w:marBottom w:val="0"/>
      <w:divBdr>
        <w:top w:val="none" w:sz="0" w:space="0" w:color="auto"/>
        <w:left w:val="none" w:sz="0" w:space="0" w:color="auto"/>
        <w:bottom w:val="none" w:sz="0" w:space="0" w:color="auto"/>
        <w:right w:val="none" w:sz="0" w:space="0" w:color="auto"/>
      </w:divBdr>
      <w:divsChild>
        <w:div w:id="1220437296">
          <w:marLeft w:val="0"/>
          <w:marRight w:val="0"/>
          <w:marTop w:val="0"/>
          <w:marBottom w:val="0"/>
          <w:divBdr>
            <w:top w:val="none" w:sz="0" w:space="0" w:color="auto"/>
            <w:left w:val="none" w:sz="0" w:space="0" w:color="auto"/>
            <w:bottom w:val="none" w:sz="0" w:space="0" w:color="auto"/>
            <w:right w:val="none" w:sz="0" w:space="0" w:color="auto"/>
          </w:divBdr>
          <w:divsChild>
            <w:div w:id="734279919">
              <w:marLeft w:val="0"/>
              <w:marRight w:val="0"/>
              <w:marTop w:val="0"/>
              <w:marBottom w:val="0"/>
              <w:divBdr>
                <w:top w:val="none" w:sz="0" w:space="0" w:color="auto"/>
                <w:left w:val="none" w:sz="0" w:space="0" w:color="auto"/>
                <w:bottom w:val="none" w:sz="0" w:space="0" w:color="auto"/>
                <w:right w:val="none" w:sz="0" w:space="0" w:color="auto"/>
              </w:divBdr>
              <w:divsChild>
                <w:div w:id="14932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5881">
      <w:bodyDiv w:val="1"/>
      <w:marLeft w:val="0"/>
      <w:marRight w:val="0"/>
      <w:marTop w:val="0"/>
      <w:marBottom w:val="0"/>
      <w:divBdr>
        <w:top w:val="none" w:sz="0" w:space="0" w:color="auto"/>
        <w:left w:val="none" w:sz="0" w:space="0" w:color="auto"/>
        <w:bottom w:val="none" w:sz="0" w:space="0" w:color="auto"/>
        <w:right w:val="none" w:sz="0" w:space="0" w:color="auto"/>
      </w:divBdr>
    </w:div>
    <w:div w:id="272978789">
      <w:bodyDiv w:val="1"/>
      <w:marLeft w:val="0"/>
      <w:marRight w:val="0"/>
      <w:marTop w:val="0"/>
      <w:marBottom w:val="0"/>
      <w:divBdr>
        <w:top w:val="none" w:sz="0" w:space="0" w:color="auto"/>
        <w:left w:val="none" w:sz="0" w:space="0" w:color="auto"/>
        <w:bottom w:val="none" w:sz="0" w:space="0" w:color="auto"/>
        <w:right w:val="none" w:sz="0" w:space="0" w:color="auto"/>
      </w:divBdr>
    </w:div>
    <w:div w:id="315845885">
      <w:bodyDiv w:val="1"/>
      <w:marLeft w:val="0"/>
      <w:marRight w:val="0"/>
      <w:marTop w:val="0"/>
      <w:marBottom w:val="0"/>
      <w:divBdr>
        <w:top w:val="none" w:sz="0" w:space="0" w:color="auto"/>
        <w:left w:val="none" w:sz="0" w:space="0" w:color="auto"/>
        <w:bottom w:val="none" w:sz="0" w:space="0" w:color="auto"/>
        <w:right w:val="none" w:sz="0" w:space="0" w:color="auto"/>
      </w:divBdr>
    </w:div>
    <w:div w:id="544567005">
      <w:bodyDiv w:val="1"/>
      <w:marLeft w:val="0"/>
      <w:marRight w:val="0"/>
      <w:marTop w:val="0"/>
      <w:marBottom w:val="0"/>
      <w:divBdr>
        <w:top w:val="none" w:sz="0" w:space="0" w:color="auto"/>
        <w:left w:val="none" w:sz="0" w:space="0" w:color="auto"/>
        <w:bottom w:val="none" w:sz="0" w:space="0" w:color="auto"/>
        <w:right w:val="none" w:sz="0" w:space="0" w:color="auto"/>
      </w:divBdr>
    </w:div>
    <w:div w:id="555705898">
      <w:bodyDiv w:val="1"/>
      <w:marLeft w:val="0"/>
      <w:marRight w:val="0"/>
      <w:marTop w:val="0"/>
      <w:marBottom w:val="0"/>
      <w:divBdr>
        <w:top w:val="none" w:sz="0" w:space="0" w:color="auto"/>
        <w:left w:val="none" w:sz="0" w:space="0" w:color="auto"/>
        <w:bottom w:val="none" w:sz="0" w:space="0" w:color="auto"/>
        <w:right w:val="none" w:sz="0" w:space="0" w:color="auto"/>
      </w:divBdr>
    </w:div>
    <w:div w:id="649290754">
      <w:bodyDiv w:val="1"/>
      <w:marLeft w:val="0"/>
      <w:marRight w:val="0"/>
      <w:marTop w:val="0"/>
      <w:marBottom w:val="0"/>
      <w:divBdr>
        <w:top w:val="none" w:sz="0" w:space="0" w:color="auto"/>
        <w:left w:val="none" w:sz="0" w:space="0" w:color="auto"/>
        <w:bottom w:val="none" w:sz="0" w:space="0" w:color="auto"/>
        <w:right w:val="none" w:sz="0" w:space="0" w:color="auto"/>
      </w:divBdr>
    </w:div>
    <w:div w:id="652636942">
      <w:bodyDiv w:val="1"/>
      <w:marLeft w:val="0"/>
      <w:marRight w:val="0"/>
      <w:marTop w:val="0"/>
      <w:marBottom w:val="0"/>
      <w:divBdr>
        <w:top w:val="none" w:sz="0" w:space="0" w:color="auto"/>
        <w:left w:val="none" w:sz="0" w:space="0" w:color="auto"/>
        <w:bottom w:val="none" w:sz="0" w:space="0" w:color="auto"/>
        <w:right w:val="none" w:sz="0" w:space="0" w:color="auto"/>
      </w:divBdr>
    </w:div>
    <w:div w:id="671681676">
      <w:bodyDiv w:val="1"/>
      <w:marLeft w:val="0"/>
      <w:marRight w:val="0"/>
      <w:marTop w:val="0"/>
      <w:marBottom w:val="0"/>
      <w:divBdr>
        <w:top w:val="none" w:sz="0" w:space="0" w:color="auto"/>
        <w:left w:val="none" w:sz="0" w:space="0" w:color="auto"/>
        <w:bottom w:val="none" w:sz="0" w:space="0" w:color="auto"/>
        <w:right w:val="none" w:sz="0" w:space="0" w:color="auto"/>
      </w:divBdr>
    </w:div>
    <w:div w:id="887448381">
      <w:bodyDiv w:val="1"/>
      <w:marLeft w:val="0"/>
      <w:marRight w:val="0"/>
      <w:marTop w:val="0"/>
      <w:marBottom w:val="0"/>
      <w:divBdr>
        <w:top w:val="none" w:sz="0" w:space="0" w:color="auto"/>
        <w:left w:val="none" w:sz="0" w:space="0" w:color="auto"/>
        <w:bottom w:val="none" w:sz="0" w:space="0" w:color="auto"/>
        <w:right w:val="none" w:sz="0" w:space="0" w:color="auto"/>
      </w:divBdr>
    </w:div>
    <w:div w:id="938563302">
      <w:bodyDiv w:val="1"/>
      <w:marLeft w:val="0"/>
      <w:marRight w:val="0"/>
      <w:marTop w:val="0"/>
      <w:marBottom w:val="0"/>
      <w:divBdr>
        <w:top w:val="none" w:sz="0" w:space="0" w:color="auto"/>
        <w:left w:val="none" w:sz="0" w:space="0" w:color="auto"/>
        <w:bottom w:val="none" w:sz="0" w:space="0" w:color="auto"/>
        <w:right w:val="none" w:sz="0" w:space="0" w:color="auto"/>
      </w:divBdr>
    </w:div>
    <w:div w:id="1267808576">
      <w:bodyDiv w:val="1"/>
      <w:marLeft w:val="0"/>
      <w:marRight w:val="0"/>
      <w:marTop w:val="0"/>
      <w:marBottom w:val="0"/>
      <w:divBdr>
        <w:top w:val="none" w:sz="0" w:space="0" w:color="auto"/>
        <w:left w:val="none" w:sz="0" w:space="0" w:color="auto"/>
        <w:bottom w:val="none" w:sz="0" w:space="0" w:color="auto"/>
        <w:right w:val="none" w:sz="0" w:space="0" w:color="auto"/>
      </w:divBdr>
      <w:divsChild>
        <w:div w:id="1414283000">
          <w:marLeft w:val="0"/>
          <w:marRight w:val="0"/>
          <w:marTop w:val="0"/>
          <w:marBottom w:val="0"/>
          <w:divBdr>
            <w:top w:val="none" w:sz="0" w:space="0" w:color="auto"/>
            <w:left w:val="none" w:sz="0" w:space="0" w:color="auto"/>
            <w:bottom w:val="none" w:sz="0" w:space="0" w:color="auto"/>
            <w:right w:val="none" w:sz="0" w:space="0" w:color="auto"/>
          </w:divBdr>
          <w:divsChild>
            <w:div w:id="1563834718">
              <w:marLeft w:val="0"/>
              <w:marRight w:val="0"/>
              <w:marTop w:val="0"/>
              <w:marBottom w:val="0"/>
              <w:divBdr>
                <w:top w:val="none" w:sz="0" w:space="0" w:color="auto"/>
                <w:left w:val="none" w:sz="0" w:space="0" w:color="auto"/>
                <w:bottom w:val="none" w:sz="0" w:space="0" w:color="auto"/>
                <w:right w:val="none" w:sz="0" w:space="0" w:color="auto"/>
              </w:divBdr>
              <w:divsChild>
                <w:div w:id="755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5443">
      <w:bodyDiv w:val="1"/>
      <w:marLeft w:val="0"/>
      <w:marRight w:val="0"/>
      <w:marTop w:val="0"/>
      <w:marBottom w:val="0"/>
      <w:divBdr>
        <w:top w:val="none" w:sz="0" w:space="0" w:color="auto"/>
        <w:left w:val="none" w:sz="0" w:space="0" w:color="auto"/>
        <w:bottom w:val="none" w:sz="0" w:space="0" w:color="auto"/>
        <w:right w:val="none" w:sz="0" w:space="0" w:color="auto"/>
      </w:divBdr>
    </w:div>
    <w:div w:id="1438795612">
      <w:bodyDiv w:val="1"/>
      <w:marLeft w:val="0"/>
      <w:marRight w:val="0"/>
      <w:marTop w:val="0"/>
      <w:marBottom w:val="0"/>
      <w:divBdr>
        <w:top w:val="none" w:sz="0" w:space="0" w:color="auto"/>
        <w:left w:val="none" w:sz="0" w:space="0" w:color="auto"/>
        <w:bottom w:val="none" w:sz="0" w:space="0" w:color="auto"/>
        <w:right w:val="none" w:sz="0" w:space="0" w:color="auto"/>
      </w:divBdr>
    </w:div>
    <w:div w:id="1520388174">
      <w:bodyDiv w:val="1"/>
      <w:marLeft w:val="0"/>
      <w:marRight w:val="0"/>
      <w:marTop w:val="0"/>
      <w:marBottom w:val="0"/>
      <w:divBdr>
        <w:top w:val="none" w:sz="0" w:space="0" w:color="auto"/>
        <w:left w:val="none" w:sz="0" w:space="0" w:color="auto"/>
        <w:bottom w:val="none" w:sz="0" w:space="0" w:color="auto"/>
        <w:right w:val="none" w:sz="0" w:space="0" w:color="auto"/>
      </w:divBdr>
    </w:div>
    <w:div w:id="1762410288">
      <w:bodyDiv w:val="1"/>
      <w:marLeft w:val="0"/>
      <w:marRight w:val="0"/>
      <w:marTop w:val="0"/>
      <w:marBottom w:val="0"/>
      <w:divBdr>
        <w:top w:val="none" w:sz="0" w:space="0" w:color="auto"/>
        <w:left w:val="none" w:sz="0" w:space="0" w:color="auto"/>
        <w:bottom w:val="none" w:sz="0" w:space="0" w:color="auto"/>
        <w:right w:val="none" w:sz="0" w:space="0" w:color="auto"/>
      </w:divBdr>
    </w:div>
    <w:div w:id="1969621743">
      <w:bodyDiv w:val="1"/>
      <w:marLeft w:val="0"/>
      <w:marRight w:val="0"/>
      <w:marTop w:val="0"/>
      <w:marBottom w:val="0"/>
      <w:divBdr>
        <w:top w:val="none" w:sz="0" w:space="0" w:color="auto"/>
        <w:left w:val="none" w:sz="0" w:space="0" w:color="auto"/>
        <w:bottom w:val="none" w:sz="0" w:space="0" w:color="auto"/>
        <w:right w:val="none" w:sz="0" w:space="0" w:color="auto"/>
      </w:divBdr>
    </w:div>
    <w:div w:id="1982539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2612</Words>
  <Characters>14893</Characters>
  <Application>Microsoft Macintosh Word</Application>
  <DocSecurity>0</DocSecurity>
  <Lines>124</Lines>
  <Paragraphs>34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CURRICULUM VITAE</vt:lpstr>
      <vt:lpstr>CURRICULUM VITAE</vt:lpstr>
      <vt:lpstr>Personal Details</vt:lpstr>
      <vt:lpstr>Education</vt:lpstr>
      <vt:lpstr>Professional Experience</vt:lpstr>
      <vt:lpstr>Research</vt:lpstr>
      <vt:lpstr>Teaching</vt:lpstr>
      <vt:lpstr>Postgraduate Supervision</vt:lpstr>
      <vt:lpstr>Administration</vt:lpstr>
      <vt:lpstr>National and International Collaborators (current)</vt:lpstr>
      <vt:lpstr>Hosted International Visitors</vt:lpstr>
      <vt:lpstr>Measures of esteem and contributions to the field</vt:lpstr>
      <vt:lpstr>Awards</vt:lpstr>
      <vt:lpstr>Referees</vt:lpstr>
      <vt:lpstr>Publication List</vt:lpstr>
    </vt:vector>
  </TitlesOfParts>
  <Company>UBC</Company>
  <LinksUpToDate>false</LinksUpToDate>
  <CharactersWithSpaces>17471</CharactersWithSpaces>
  <SharedDoc>false</SharedDoc>
  <HLinks>
    <vt:vector size="12" baseType="variant">
      <vt:variant>
        <vt:i4>1245241</vt:i4>
      </vt:variant>
      <vt:variant>
        <vt:i4>3</vt:i4>
      </vt:variant>
      <vt:variant>
        <vt:i4>0</vt:i4>
      </vt:variant>
      <vt:variant>
        <vt:i4>5</vt:i4>
      </vt:variant>
      <vt:variant>
        <vt:lpwstr>mailto:steve.tyerman@adelaide.edu.au</vt:lpwstr>
      </vt:variant>
      <vt:variant>
        <vt:lpwstr/>
      </vt:variant>
      <vt:variant>
        <vt:i4>65576</vt:i4>
      </vt:variant>
      <vt:variant>
        <vt:i4>0</vt:i4>
      </vt:variant>
      <vt:variant>
        <vt:i4>0</vt:i4>
      </vt:variant>
      <vt:variant>
        <vt:i4>5</vt:i4>
      </vt:variant>
      <vt:variant>
        <vt:lpwstr>mailto:david.day@flinders.edu.au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Brent &amp; Maria</dc:creator>
  <cp:keywords/>
  <dc:description/>
  <cp:lastModifiedBy>Brent Kaiser</cp:lastModifiedBy>
  <cp:revision>2</cp:revision>
  <cp:lastPrinted>2016-11-07T10:42:00Z</cp:lastPrinted>
  <dcterms:created xsi:type="dcterms:W3CDTF">2016-11-23T04:11:00Z</dcterms:created>
  <dcterms:modified xsi:type="dcterms:W3CDTF">2016-11-23T04:11:00Z</dcterms:modified>
</cp:coreProperties>
</file>